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42" w:rsidRPr="00BD06BD" w:rsidRDefault="00765142" w:rsidP="00765142">
      <w:pPr>
        <w:spacing w:after="159"/>
        <w:ind w:left="11" w:right="4" w:hanging="10"/>
        <w:jc w:val="center"/>
        <w:rPr>
          <w:rFonts w:cstheme="minorHAnsi"/>
        </w:rPr>
      </w:pPr>
      <w:r w:rsidRPr="00BD06BD">
        <w:rPr>
          <w:rFonts w:eastAsia="Calibri" w:cstheme="minorHAnsi"/>
          <w:b/>
        </w:rPr>
        <w:t xml:space="preserve">Faculty Senate Advisory Board </w:t>
      </w:r>
    </w:p>
    <w:p w:rsidR="00765142" w:rsidRPr="00BD06BD" w:rsidRDefault="00765142" w:rsidP="00765142">
      <w:pPr>
        <w:spacing w:after="159"/>
        <w:ind w:left="11" w:hanging="10"/>
        <w:jc w:val="center"/>
        <w:rPr>
          <w:rFonts w:cstheme="minorHAnsi"/>
        </w:rPr>
      </w:pPr>
      <w:r w:rsidRPr="00BD06BD">
        <w:rPr>
          <w:rFonts w:eastAsia="Calibri" w:cstheme="minorHAnsi"/>
          <w:b/>
        </w:rPr>
        <w:t xml:space="preserve">End-of-Year Report </w:t>
      </w:r>
    </w:p>
    <w:p w:rsidR="00765142" w:rsidRPr="00BD06BD" w:rsidRDefault="00765142" w:rsidP="00765142">
      <w:pPr>
        <w:spacing w:after="159"/>
        <w:ind w:left="11" w:right="3" w:hanging="10"/>
        <w:jc w:val="center"/>
        <w:rPr>
          <w:rFonts w:cstheme="minorHAnsi"/>
        </w:rPr>
      </w:pPr>
      <w:r w:rsidRPr="00BD06BD">
        <w:rPr>
          <w:rFonts w:eastAsia="Calibri" w:cstheme="minorHAnsi"/>
          <w:b/>
        </w:rPr>
        <w:t xml:space="preserve">2017-18 </w:t>
      </w:r>
    </w:p>
    <w:p w:rsidR="00765142" w:rsidRPr="00BD06BD" w:rsidRDefault="00765142" w:rsidP="00765142">
      <w:pPr>
        <w:ind w:left="1"/>
        <w:rPr>
          <w:rFonts w:cstheme="minorHAnsi"/>
        </w:rPr>
      </w:pPr>
      <w:r w:rsidRPr="00BD06BD">
        <w:rPr>
          <w:rFonts w:cstheme="minorHAnsi"/>
        </w:rPr>
        <w:t xml:space="preserve"> </w:t>
      </w:r>
      <w:r w:rsidRPr="00BD06BD">
        <w:rPr>
          <w:rFonts w:eastAsia="Calibri" w:cstheme="minorHAnsi"/>
          <w:b/>
        </w:rPr>
        <w:t>Charge</w:t>
      </w:r>
      <w:r w:rsidRPr="00BD06BD">
        <w:rPr>
          <w:rFonts w:cstheme="minorHAnsi"/>
        </w:rPr>
        <w:t xml:space="preserve"> </w:t>
      </w:r>
    </w:p>
    <w:p w:rsidR="00765142" w:rsidRPr="00BD06BD" w:rsidRDefault="00765142" w:rsidP="00765142">
      <w:pPr>
        <w:spacing w:after="162"/>
        <w:ind w:left="1"/>
        <w:jc w:val="both"/>
        <w:rPr>
          <w:rFonts w:cstheme="minorHAnsi"/>
        </w:rPr>
      </w:pPr>
      <w:r w:rsidRPr="00BD06BD">
        <w:rPr>
          <w:rFonts w:cstheme="minorHAnsi"/>
        </w:rPr>
        <w:t xml:space="preserve">The Faculty Senate Advisory Board membership is comprised of former Faculty Senate Chairs. The Advisory Board advises the current Faculty Senate Chair in meetings with the Executive Committee once every long semester, and more often should circumstances demand it. </w:t>
      </w:r>
    </w:p>
    <w:p w:rsidR="00765142" w:rsidRPr="00BD06BD" w:rsidRDefault="00765142" w:rsidP="00765142">
      <w:pPr>
        <w:spacing w:after="158"/>
        <w:ind w:left="1"/>
        <w:rPr>
          <w:rFonts w:cstheme="minorHAnsi"/>
        </w:rPr>
      </w:pPr>
      <w:r w:rsidRPr="00BD06BD">
        <w:rPr>
          <w:rFonts w:cstheme="minorHAnsi"/>
        </w:rPr>
        <w:t xml:space="preserve"> The Faculty Senate Immediate Past-chair serves as Chair of the Faculty Senate Advisory Board and develops the agenda for Faculty Senate Advisory Board meetings in coordination with the Faculty Senate Chair. </w:t>
      </w:r>
    </w:p>
    <w:p w:rsidR="00765142" w:rsidRPr="00BD06BD" w:rsidRDefault="00765142" w:rsidP="00765142">
      <w:pPr>
        <w:ind w:left="1"/>
        <w:rPr>
          <w:rFonts w:cstheme="minorHAnsi"/>
        </w:rPr>
      </w:pPr>
      <w:r w:rsidRPr="00BD06BD">
        <w:rPr>
          <w:rFonts w:cstheme="minorHAnsi"/>
        </w:rPr>
        <w:t xml:space="preserve"> </w:t>
      </w:r>
      <w:r w:rsidRPr="00BD06BD">
        <w:rPr>
          <w:rFonts w:eastAsia="Calibri" w:cstheme="minorHAnsi"/>
          <w:b/>
        </w:rPr>
        <w:t xml:space="preserve">Proceedings </w:t>
      </w:r>
    </w:p>
    <w:p w:rsidR="00765142" w:rsidRPr="00BD06BD" w:rsidRDefault="00765142" w:rsidP="00765142">
      <w:pPr>
        <w:ind w:left="-5"/>
        <w:rPr>
          <w:rFonts w:cstheme="minorHAnsi"/>
        </w:rPr>
      </w:pPr>
      <w:r w:rsidRPr="00BD06BD">
        <w:rPr>
          <w:rFonts w:cstheme="minorHAnsi"/>
        </w:rPr>
        <w:t xml:space="preserve">The Faculty Senate Advisory Board (FSAB) met on October 5, 2017, and on February 15, 2018. The Senate Chair briefed the FSAB on current work and issues relevant to the Senate. The FSAB then engaged in rich conversations drawing on the institutional memory and wisdom of Past-chairs. Topics included shared governance at TCU, relations with other stakeholders, and retiree’s health benefits. </w:t>
      </w:r>
    </w:p>
    <w:p w:rsidR="00765142" w:rsidRDefault="00765142" w:rsidP="00765142">
      <w:pPr>
        <w:ind w:left="-5"/>
        <w:rPr>
          <w:rFonts w:cstheme="minorHAnsi"/>
        </w:rPr>
      </w:pPr>
    </w:p>
    <w:p w:rsidR="00765142" w:rsidRPr="00BD06BD" w:rsidRDefault="00765142" w:rsidP="00765142">
      <w:pPr>
        <w:ind w:left="-5"/>
        <w:rPr>
          <w:rFonts w:cstheme="minorHAnsi"/>
        </w:rPr>
      </w:pPr>
      <w:r w:rsidRPr="00BD06BD">
        <w:rPr>
          <w:rFonts w:cstheme="minorHAnsi"/>
        </w:rPr>
        <w:t xml:space="preserve">Respectfully submitted, </w:t>
      </w:r>
    </w:p>
    <w:p w:rsidR="00765142" w:rsidRPr="00BD06BD" w:rsidRDefault="00765142" w:rsidP="00765142">
      <w:pPr>
        <w:ind w:left="-5"/>
        <w:rPr>
          <w:rFonts w:cstheme="minorHAnsi"/>
        </w:rPr>
      </w:pPr>
      <w:r>
        <w:rPr>
          <w:rFonts w:cstheme="minorHAnsi"/>
        </w:rPr>
        <w:t>Jesús Castro-</w:t>
      </w:r>
      <w:proofErr w:type="spellStart"/>
      <w:r>
        <w:rPr>
          <w:rFonts w:cstheme="minorHAnsi"/>
        </w:rPr>
        <w:t>Balbi</w:t>
      </w:r>
      <w:proofErr w:type="spellEnd"/>
      <w:r>
        <w:rPr>
          <w:rFonts w:cstheme="minorHAnsi"/>
        </w:rPr>
        <w:t xml:space="preserve">, </w:t>
      </w:r>
    </w:p>
    <w:p w:rsidR="00765142" w:rsidRPr="00BD06BD" w:rsidRDefault="00765142" w:rsidP="008D12DA">
      <w:pPr>
        <w:ind w:left="-5"/>
        <w:rPr>
          <w:rFonts w:cstheme="minorHAnsi"/>
        </w:rPr>
      </w:pPr>
      <w:r w:rsidRPr="00BD06BD">
        <w:rPr>
          <w:rFonts w:cstheme="minorHAnsi"/>
        </w:rPr>
        <w:t xml:space="preserve">Chair, FASB </w:t>
      </w:r>
      <w:bookmarkStart w:id="0" w:name="_GoBack"/>
      <w:bookmarkEnd w:id="0"/>
    </w:p>
    <w:p w:rsidR="007131EB" w:rsidRDefault="008D12DA"/>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A055D"/>
    <w:multiLevelType w:val="hybridMultilevel"/>
    <w:tmpl w:val="A99C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42"/>
    <w:rsid w:val="00043E5C"/>
    <w:rsid w:val="00765142"/>
    <w:rsid w:val="008D12DA"/>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5AE8E"/>
  <w15:chartTrackingRefBased/>
  <w15:docId w15:val="{B11066E3-09BE-614E-B6F8-6C3B1B9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2018-07-07T00:02:00Z</dcterms:created>
  <dcterms:modified xsi:type="dcterms:W3CDTF">2018-07-07T02:13:00Z</dcterms:modified>
</cp:coreProperties>
</file>