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2C63D" w14:textId="3391624E" w:rsidR="00296FD8" w:rsidRPr="00296FD8" w:rsidRDefault="00296FD8" w:rsidP="00296FD8">
      <w:pPr>
        <w:jc w:val="center"/>
        <w:rPr>
          <w:rFonts w:ascii="Arial" w:hAnsi="Arial" w:cs="Arial"/>
          <w:b/>
          <w:sz w:val="24"/>
          <w:szCs w:val="24"/>
        </w:rPr>
      </w:pPr>
      <w:r>
        <w:rPr>
          <w:rFonts w:ascii="Arial" w:hAnsi="Arial" w:cs="Arial"/>
          <w:b/>
          <w:sz w:val="24"/>
          <w:szCs w:val="24"/>
        </w:rPr>
        <w:t xml:space="preserve">Shared </w:t>
      </w:r>
      <w:r w:rsidR="001A3D84">
        <w:rPr>
          <w:rFonts w:ascii="Arial" w:hAnsi="Arial" w:cs="Arial"/>
          <w:b/>
          <w:sz w:val="24"/>
          <w:szCs w:val="24"/>
        </w:rPr>
        <w:t>Governance Statement</w:t>
      </w:r>
      <w:bookmarkStart w:id="0" w:name="_GoBack"/>
      <w:bookmarkEnd w:id="0"/>
      <w:r w:rsidR="00D17DF5">
        <w:rPr>
          <w:rFonts w:ascii="Arial" w:hAnsi="Arial" w:cs="Arial"/>
          <w:b/>
          <w:sz w:val="24"/>
          <w:szCs w:val="24"/>
        </w:rPr>
        <w:t xml:space="preserve"> (12</w:t>
      </w:r>
      <w:r w:rsidR="00660E37">
        <w:rPr>
          <w:rFonts w:ascii="Arial" w:hAnsi="Arial" w:cs="Arial"/>
          <w:b/>
          <w:sz w:val="24"/>
          <w:szCs w:val="24"/>
        </w:rPr>
        <w:t xml:space="preserve"> November</w:t>
      </w:r>
      <w:r>
        <w:rPr>
          <w:rFonts w:ascii="Arial" w:hAnsi="Arial" w:cs="Arial"/>
          <w:b/>
          <w:sz w:val="24"/>
          <w:szCs w:val="24"/>
        </w:rPr>
        <w:t xml:space="preserve"> 2018)</w:t>
      </w:r>
    </w:p>
    <w:p w14:paraId="4C86D6CA" w14:textId="44D8D539" w:rsidR="4B00B55A" w:rsidRDefault="4B00B55A" w:rsidP="288C3361">
      <w:pPr>
        <w:rPr>
          <w:rFonts w:ascii="Arial" w:hAnsi="Arial" w:cs="Arial"/>
          <w:sz w:val="24"/>
          <w:szCs w:val="24"/>
        </w:rPr>
      </w:pPr>
      <w:r w:rsidRPr="4B00B55A">
        <w:rPr>
          <w:rFonts w:ascii="Arial" w:hAnsi="Arial" w:cs="Arial"/>
          <w:sz w:val="24"/>
          <w:szCs w:val="24"/>
        </w:rPr>
        <w:t xml:space="preserve">TCU is a community of interdependent stakeholders that believes in meaningful involvement of its constituents in the shared governance of the university. This community recognizes that decisions and actions in any sector have implications for all other sectors. Shared governance means that all stakeholder groups participate in deliberation and decision-making.  This critical participation requires a clear understanding and observation of roles, responsibilities, and channels of communication among faculty, administration, staff, students, and trustees. </w:t>
      </w:r>
    </w:p>
    <w:p w14:paraId="592FFFDB" w14:textId="270A26F0" w:rsidR="4B00B55A" w:rsidRDefault="288C3361" w:rsidP="288C3361">
      <w:pPr>
        <w:rPr>
          <w:rFonts w:ascii="Arial" w:hAnsi="Arial" w:cs="Arial"/>
          <w:sz w:val="24"/>
          <w:szCs w:val="24"/>
        </w:rPr>
      </w:pPr>
      <w:r w:rsidRPr="288C3361">
        <w:rPr>
          <w:rFonts w:ascii="Arial" w:hAnsi="Arial" w:cs="Arial"/>
          <w:sz w:val="24"/>
          <w:szCs w:val="24"/>
        </w:rPr>
        <w:t>TCU reaffirms its historical commitment to the practice of shared governance, which means that faculty, staff, and students – through their elected bodies – are consulted prior to (and involved in) the formulation and implementation of policies that affect them.</w:t>
      </w:r>
    </w:p>
    <w:p w14:paraId="0DC8CD1F" w14:textId="4D78B297" w:rsidR="00296FD8" w:rsidRPr="00296FD8" w:rsidRDefault="00296FD8" w:rsidP="00DA6915">
      <w:pPr>
        <w:rPr>
          <w:rFonts w:ascii="Arial" w:hAnsi="Arial" w:cs="Arial"/>
          <w:b/>
          <w:sz w:val="24"/>
          <w:szCs w:val="24"/>
        </w:rPr>
      </w:pPr>
      <w:r w:rsidRPr="00296FD8">
        <w:rPr>
          <w:rFonts w:ascii="Arial" w:hAnsi="Arial" w:cs="Arial"/>
          <w:b/>
          <w:sz w:val="24"/>
          <w:szCs w:val="24"/>
        </w:rPr>
        <w:t>Faculty Perspective on Shared Governance</w:t>
      </w:r>
    </w:p>
    <w:p w14:paraId="669EFB7B" w14:textId="7748319F" w:rsidR="00651801" w:rsidRPr="00660E37" w:rsidRDefault="288C3361" w:rsidP="00660E37">
      <w:pPr>
        <w:rPr>
          <w:rFonts w:ascii="Arial" w:hAnsi="Arial" w:cs="Arial"/>
          <w:sz w:val="24"/>
          <w:szCs w:val="24"/>
        </w:rPr>
      </w:pPr>
      <w:r w:rsidRPr="288C3361">
        <w:rPr>
          <w:rFonts w:ascii="Arial" w:hAnsi="Arial" w:cs="Arial"/>
          <w:sz w:val="24"/>
          <w:szCs w:val="24"/>
        </w:rPr>
        <w:t>TCU faculty can effe</w:t>
      </w:r>
      <w:r w:rsidR="00660E37">
        <w:rPr>
          <w:rFonts w:ascii="Arial" w:hAnsi="Arial" w:cs="Arial"/>
          <w:sz w:val="24"/>
          <w:szCs w:val="24"/>
        </w:rPr>
        <w:t>ctively share in governance by p</w:t>
      </w:r>
      <w:r w:rsidRPr="00660E37">
        <w:rPr>
          <w:rFonts w:ascii="Arial" w:hAnsi="Arial" w:cs="Arial"/>
          <w:sz w:val="24"/>
          <w:szCs w:val="24"/>
        </w:rPr>
        <w:t>laying an active role in decisions regarding the formulation, amendment, or abolition o</w:t>
      </w:r>
      <w:r w:rsidR="00660E37" w:rsidRPr="00660E37">
        <w:rPr>
          <w:rFonts w:ascii="Arial" w:hAnsi="Arial" w:cs="Arial"/>
          <w:sz w:val="24"/>
          <w:szCs w:val="24"/>
        </w:rPr>
        <w:t>f all policies that affect them</w:t>
      </w:r>
      <w:r w:rsidRPr="00660E37">
        <w:rPr>
          <w:rFonts w:ascii="Arial" w:hAnsi="Arial" w:cs="Arial"/>
          <w:sz w:val="24"/>
          <w:szCs w:val="24"/>
        </w:rPr>
        <w:t xml:space="preserve"> at the university, coll</w:t>
      </w:r>
      <w:r w:rsidR="00660E37" w:rsidRPr="00660E37">
        <w:rPr>
          <w:rFonts w:ascii="Arial" w:hAnsi="Arial" w:cs="Arial"/>
          <w:sz w:val="24"/>
          <w:szCs w:val="24"/>
        </w:rPr>
        <w:t xml:space="preserve">ege, and department levels. </w:t>
      </w:r>
      <w:r w:rsidR="00660E37">
        <w:rPr>
          <w:rFonts w:ascii="Arial" w:hAnsi="Arial" w:cs="Arial"/>
          <w:sz w:val="24"/>
          <w:szCs w:val="24"/>
        </w:rPr>
        <w:t xml:space="preserve">They can also share in governance by participating in </w:t>
      </w:r>
      <w:r w:rsidR="00660E37" w:rsidRPr="00660E37">
        <w:rPr>
          <w:rFonts w:ascii="Arial" w:hAnsi="Arial" w:cs="Arial"/>
          <w:sz w:val="24"/>
          <w:szCs w:val="24"/>
        </w:rPr>
        <w:t>long-term planning and decisio</w:t>
      </w:r>
      <w:r w:rsidR="00660E37">
        <w:rPr>
          <w:rFonts w:ascii="Arial" w:hAnsi="Arial" w:cs="Arial"/>
          <w:sz w:val="24"/>
          <w:szCs w:val="24"/>
        </w:rPr>
        <w:t xml:space="preserve">n making throughout </w:t>
      </w:r>
      <w:r w:rsidR="00660E37" w:rsidRPr="00660E37">
        <w:rPr>
          <w:rFonts w:ascii="Arial" w:hAnsi="Arial" w:cs="Arial"/>
          <w:sz w:val="24"/>
          <w:szCs w:val="24"/>
        </w:rPr>
        <w:t>the university</w:t>
      </w:r>
      <w:r w:rsidR="00212D49">
        <w:rPr>
          <w:rFonts w:ascii="Arial" w:hAnsi="Arial" w:cs="Arial"/>
          <w:sz w:val="24"/>
          <w:szCs w:val="24"/>
        </w:rPr>
        <w:t xml:space="preserve">. </w:t>
      </w:r>
      <w:r w:rsidR="00660E37">
        <w:rPr>
          <w:rFonts w:ascii="Arial" w:hAnsi="Arial" w:cs="Arial"/>
          <w:sz w:val="24"/>
          <w:szCs w:val="24"/>
        </w:rPr>
        <w:t>Playing</w:t>
      </w:r>
      <w:r w:rsidR="00660E37" w:rsidRPr="00660E37">
        <w:rPr>
          <w:rFonts w:ascii="Arial" w:hAnsi="Arial" w:cs="Arial"/>
          <w:sz w:val="24"/>
          <w:szCs w:val="24"/>
        </w:rPr>
        <w:t xml:space="preserve"> an active role</w:t>
      </w:r>
      <w:r w:rsidR="00660E37">
        <w:rPr>
          <w:rFonts w:ascii="Arial" w:hAnsi="Arial" w:cs="Arial"/>
          <w:sz w:val="24"/>
          <w:szCs w:val="24"/>
        </w:rPr>
        <w:t xml:space="preserve"> and participating in long-term planning</w:t>
      </w:r>
      <w:r w:rsidR="00053B84">
        <w:rPr>
          <w:rFonts w:ascii="Arial" w:hAnsi="Arial" w:cs="Arial"/>
          <w:sz w:val="24"/>
          <w:szCs w:val="24"/>
        </w:rPr>
        <w:t xml:space="preserve"> require</w:t>
      </w:r>
      <w:r w:rsidRPr="00660E37">
        <w:rPr>
          <w:rFonts w:ascii="Arial" w:hAnsi="Arial" w:cs="Arial"/>
          <w:sz w:val="24"/>
          <w:szCs w:val="24"/>
        </w:rPr>
        <w:t xml:space="preserve"> meaningful representation</w:t>
      </w:r>
      <w:r w:rsidR="00660E37">
        <w:rPr>
          <w:rFonts w:ascii="Arial" w:hAnsi="Arial" w:cs="Arial"/>
          <w:sz w:val="24"/>
          <w:szCs w:val="24"/>
        </w:rPr>
        <w:t xml:space="preserve">, </w:t>
      </w:r>
      <w:r w:rsidR="00660E37" w:rsidRPr="00660E37">
        <w:rPr>
          <w:rFonts w:ascii="Arial" w:hAnsi="Arial" w:cs="Arial"/>
          <w:sz w:val="24"/>
          <w:szCs w:val="24"/>
        </w:rPr>
        <w:t>through the Faculty Senate and/or elected faculty representatives</w:t>
      </w:r>
      <w:r w:rsidR="00660E37">
        <w:rPr>
          <w:rFonts w:ascii="Arial" w:hAnsi="Arial" w:cs="Arial"/>
          <w:sz w:val="24"/>
          <w:szCs w:val="24"/>
        </w:rPr>
        <w:t>,</w:t>
      </w:r>
      <w:r w:rsidRPr="00660E37">
        <w:rPr>
          <w:rFonts w:ascii="Arial" w:hAnsi="Arial" w:cs="Arial"/>
          <w:sz w:val="24"/>
          <w:szCs w:val="24"/>
        </w:rPr>
        <w:t xml:space="preserve"> at </w:t>
      </w:r>
      <w:r w:rsidR="00660E37" w:rsidRPr="00660E37">
        <w:rPr>
          <w:rFonts w:ascii="Arial" w:hAnsi="Arial" w:cs="Arial"/>
          <w:sz w:val="24"/>
          <w:szCs w:val="24"/>
        </w:rPr>
        <w:t xml:space="preserve">all levels of </w:t>
      </w:r>
      <w:proofErr w:type="gramStart"/>
      <w:r w:rsidR="00660E37" w:rsidRPr="00660E37">
        <w:rPr>
          <w:rFonts w:ascii="Arial" w:hAnsi="Arial" w:cs="Arial"/>
          <w:sz w:val="24"/>
          <w:szCs w:val="24"/>
        </w:rPr>
        <w:t>decision making</w:t>
      </w:r>
      <w:proofErr w:type="gramEnd"/>
      <w:r w:rsidR="00954B51">
        <w:rPr>
          <w:rFonts w:ascii="Arial" w:hAnsi="Arial" w:cs="Arial"/>
          <w:sz w:val="24"/>
          <w:szCs w:val="24"/>
        </w:rPr>
        <w:t>,</w:t>
      </w:r>
      <w:r w:rsidR="00660E37" w:rsidRPr="00660E37">
        <w:rPr>
          <w:rFonts w:ascii="Arial" w:hAnsi="Arial" w:cs="Arial"/>
          <w:sz w:val="24"/>
          <w:szCs w:val="24"/>
        </w:rPr>
        <w:t xml:space="preserve"> including the Chancellor’s Cabinet and Board of Trustees. </w:t>
      </w:r>
    </w:p>
    <w:p w14:paraId="575574AF" w14:textId="4697AF23" w:rsidR="00B33164" w:rsidRDefault="288C3361" w:rsidP="00660E37">
      <w:pPr>
        <w:pStyle w:val="ListParagraph"/>
        <w:numPr>
          <w:ilvl w:val="0"/>
          <w:numId w:val="1"/>
        </w:numPr>
        <w:rPr>
          <w:rFonts w:ascii="Arial" w:hAnsi="Arial" w:cs="Arial"/>
          <w:sz w:val="24"/>
          <w:szCs w:val="24"/>
        </w:rPr>
      </w:pPr>
      <w:r w:rsidRPr="288C3361">
        <w:rPr>
          <w:rFonts w:ascii="Arial" w:hAnsi="Arial" w:cs="Arial"/>
          <w:sz w:val="24"/>
          <w:szCs w:val="24"/>
        </w:rPr>
        <w:t xml:space="preserve">Elected representatives must be faculty whose chief duties are teaching and/or research, not administration. Consequently, faculty members whose primary current roles are administrative cannot effectively serve as faculty representatives. </w:t>
      </w:r>
    </w:p>
    <w:p w14:paraId="558EB077" w14:textId="7E864AF7" w:rsidR="00651801" w:rsidRDefault="288C3361" w:rsidP="00660E37">
      <w:pPr>
        <w:pStyle w:val="ListParagraph"/>
        <w:numPr>
          <w:ilvl w:val="0"/>
          <w:numId w:val="1"/>
        </w:numPr>
        <w:rPr>
          <w:rFonts w:ascii="Arial" w:hAnsi="Arial" w:cs="Arial"/>
          <w:sz w:val="24"/>
          <w:szCs w:val="24"/>
        </w:rPr>
      </w:pPr>
      <w:r w:rsidRPr="288C3361">
        <w:rPr>
          <w:rFonts w:ascii="Arial" w:hAnsi="Arial" w:cs="Arial"/>
          <w:sz w:val="24"/>
          <w:szCs w:val="24"/>
        </w:rPr>
        <w:t>The Faculty Senate is the appropriate body to determine whether a policy or practice affects the faculty.</w:t>
      </w:r>
    </w:p>
    <w:p w14:paraId="00F6F05A" w14:textId="6AAF3209" w:rsidR="00053B84" w:rsidRPr="003C28BC" w:rsidRDefault="00053B84" w:rsidP="00660E37">
      <w:pPr>
        <w:pStyle w:val="ListParagraph"/>
        <w:numPr>
          <w:ilvl w:val="0"/>
          <w:numId w:val="1"/>
        </w:numPr>
        <w:rPr>
          <w:rFonts w:ascii="Arial" w:hAnsi="Arial" w:cs="Arial"/>
          <w:sz w:val="24"/>
          <w:szCs w:val="24"/>
        </w:rPr>
      </w:pPr>
      <w:r>
        <w:rPr>
          <w:rFonts w:ascii="Arial" w:hAnsi="Arial" w:cs="Arial"/>
          <w:sz w:val="24"/>
          <w:szCs w:val="24"/>
        </w:rPr>
        <w:t>Proactive and sustained communication by all stakeholders is essential for effective shared governance.</w:t>
      </w:r>
    </w:p>
    <w:sectPr w:rsidR="00053B84" w:rsidRPr="003C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856D9"/>
    <w:multiLevelType w:val="hybridMultilevel"/>
    <w:tmpl w:val="00C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44"/>
    <w:rsid w:val="00031644"/>
    <w:rsid w:val="0003691C"/>
    <w:rsid w:val="00053B84"/>
    <w:rsid w:val="00073F46"/>
    <w:rsid w:val="000D2736"/>
    <w:rsid w:val="00126E61"/>
    <w:rsid w:val="001A3D84"/>
    <w:rsid w:val="001B510A"/>
    <w:rsid w:val="001C3583"/>
    <w:rsid w:val="00212D49"/>
    <w:rsid w:val="0027090E"/>
    <w:rsid w:val="00296FD8"/>
    <w:rsid w:val="002A6E0C"/>
    <w:rsid w:val="00326220"/>
    <w:rsid w:val="00333259"/>
    <w:rsid w:val="003C28BC"/>
    <w:rsid w:val="003F5D13"/>
    <w:rsid w:val="00411BC2"/>
    <w:rsid w:val="00433EBF"/>
    <w:rsid w:val="004B55F0"/>
    <w:rsid w:val="0052134F"/>
    <w:rsid w:val="00564F6C"/>
    <w:rsid w:val="00581AD1"/>
    <w:rsid w:val="006370B2"/>
    <w:rsid w:val="00651801"/>
    <w:rsid w:val="00660E37"/>
    <w:rsid w:val="00666A50"/>
    <w:rsid w:val="00695CCE"/>
    <w:rsid w:val="0070210B"/>
    <w:rsid w:val="007126F7"/>
    <w:rsid w:val="007271C4"/>
    <w:rsid w:val="00745593"/>
    <w:rsid w:val="00954B51"/>
    <w:rsid w:val="009755F5"/>
    <w:rsid w:val="00A26296"/>
    <w:rsid w:val="00A661B3"/>
    <w:rsid w:val="00AB7FF7"/>
    <w:rsid w:val="00B156A1"/>
    <w:rsid w:val="00B33164"/>
    <w:rsid w:val="00B559BA"/>
    <w:rsid w:val="00C13416"/>
    <w:rsid w:val="00C2522A"/>
    <w:rsid w:val="00C66CFD"/>
    <w:rsid w:val="00CA6435"/>
    <w:rsid w:val="00D17DF5"/>
    <w:rsid w:val="00D66958"/>
    <w:rsid w:val="00DA6915"/>
    <w:rsid w:val="00DD2246"/>
    <w:rsid w:val="00DE7A23"/>
    <w:rsid w:val="00EB6BD8"/>
    <w:rsid w:val="00FE47B9"/>
    <w:rsid w:val="288C3361"/>
    <w:rsid w:val="4B00B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327C"/>
  <w15:chartTrackingRefBased/>
  <w15:docId w15:val="{B2D91C90-6FDC-4F46-AC58-5201780A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23"/>
    <w:pPr>
      <w:ind w:left="720"/>
      <w:contextualSpacing/>
    </w:pPr>
  </w:style>
  <w:style w:type="character" w:styleId="Hyperlink">
    <w:name w:val="Hyperlink"/>
    <w:basedOn w:val="DefaultParagraphFont"/>
    <w:uiPriority w:val="99"/>
    <w:unhideWhenUsed/>
    <w:rsid w:val="00581AD1"/>
    <w:rPr>
      <w:color w:val="0563C1" w:themeColor="hyperlink"/>
      <w:u w:val="single"/>
    </w:rPr>
  </w:style>
  <w:style w:type="character" w:customStyle="1" w:styleId="UnresolvedMention">
    <w:name w:val="Unresolved Mention"/>
    <w:basedOn w:val="DefaultParagraphFont"/>
    <w:uiPriority w:val="99"/>
    <w:semiHidden/>
    <w:unhideWhenUsed/>
    <w:rsid w:val="00581AD1"/>
    <w:rPr>
      <w:color w:val="605E5C"/>
      <w:shd w:val="clear" w:color="auto" w:fill="E1DFDD"/>
    </w:rPr>
  </w:style>
  <w:style w:type="character" w:styleId="FollowedHyperlink">
    <w:name w:val="FollowedHyperlink"/>
    <w:basedOn w:val="DefaultParagraphFont"/>
    <w:uiPriority w:val="99"/>
    <w:semiHidden/>
    <w:unhideWhenUsed/>
    <w:rsid w:val="007271C4"/>
    <w:rPr>
      <w:color w:val="954F72" w:themeColor="followedHyperlink"/>
      <w:u w:val="single"/>
    </w:rPr>
  </w:style>
  <w:style w:type="paragraph" w:styleId="BalloonText">
    <w:name w:val="Balloon Text"/>
    <w:basedOn w:val="Normal"/>
    <w:link w:val="BalloonTextChar"/>
    <w:uiPriority w:val="99"/>
    <w:semiHidden/>
    <w:unhideWhenUsed/>
    <w:rsid w:val="00270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48564">
      <w:bodyDiv w:val="1"/>
      <w:marLeft w:val="0"/>
      <w:marRight w:val="0"/>
      <w:marTop w:val="0"/>
      <w:marBottom w:val="0"/>
      <w:divBdr>
        <w:top w:val="none" w:sz="0" w:space="0" w:color="auto"/>
        <w:left w:val="none" w:sz="0" w:space="0" w:color="auto"/>
        <w:bottom w:val="none" w:sz="0" w:space="0" w:color="auto"/>
        <w:right w:val="none" w:sz="0" w:space="0" w:color="auto"/>
      </w:divBdr>
      <w:divsChild>
        <w:div w:id="181594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 Frable</cp:lastModifiedBy>
  <cp:revision>5</cp:revision>
  <cp:lastPrinted>2018-11-12T23:33:00Z</cp:lastPrinted>
  <dcterms:created xsi:type="dcterms:W3CDTF">2018-11-12T23:44:00Z</dcterms:created>
  <dcterms:modified xsi:type="dcterms:W3CDTF">2018-11-13T16:07:00Z</dcterms:modified>
</cp:coreProperties>
</file>