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1A7C4" w14:textId="77777777" w:rsidR="005746AC" w:rsidRPr="00BF1ACC" w:rsidRDefault="00C922DD" w:rsidP="00061C62">
      <w:pPr>
        <w:pStyle w:val="NoSpacing"/>
        <w:jc w:val="center"/>
        <w:rPr>
          <w:b/>
        </w:rPr>
      </w:pPr>
      <w:r w:rsidRPr="00BF1ACC">
        <w:rPr>
          <w:b/>
        </w:rPr>
        <w:t>Faculty Senate – Educational Evaluation Committee (EEC)</w:t>
      </w:r>
    </w:p>
    <w:p w14:paraId="447DBCC8" w14:textId="77777777" w:rsidR="00061C62" w:rsidRPr="00BF1ACC" w:rsidRDefault="00061C62" w:rsidP="00C922DD">
      <w:pPr>
        <w:pStyle w:val="NoSpacing"/>
      </w:pPr>
    </w:p>
    <w:p w14:paraId="26C00F70" w14:textId="487EBBA9" w:rsidR="00C922DD" w:rsidRPr="00BF1ACC" w:rsidRDefault="00C922DD" w:rsidP="00C922DD">
      <w:pPr>
        <w:pStyle w:val="NoSpacing"/>
      </w:pPr>
      <w:r w:rsidRPr="00BF1ACC">
        <w:t xml:space="preserve">Chair: </w:t>
      </w:r>
      <w:r w:rsidR="00E547B8">
        <w:t>Michael Sawey</w:t>
      </w:r>
    </w:p>
    <w:p w14:paraId="311CF9CE" w14:textId="77777777" w:rsidR="00061C62" w:rsidRPr="00BF1ACC" w:rsidRDefault="00061C62" w:rsidP="00C922DD">
      <w:pPr>
        <w:pStyle w:val="NoSpacing"/>
      </w:pPr>
    </w:p>
    <w:p w14:paraId="3FA81D91" w14:textId="015A34DD" w:rsidR="00C922DD" w:rsidRPr="00BF1ACC" w:rsidRDefault="00C922DD" w:rsidP="00C922DD">
      <w:pPr>
        <w:pStyle w:val="NoSpacing"/>
      </w:pPr>
      <w:r w:rsidRPr="00BF1ACC">
        <w:t xml:space="preserve">FSEC Liaison: </w:t>
      </w:r>
      <w:r w:rsidR="00E547B8">
        <w:t>Clark Jones</w:t>
      </w:r>
    </w:p>
    <w:p w14:paraId="2F831353" w14:textId="77777777" w:rsidR="00061C62" w:rsidRPr="00BF1ACC" w:rsidRDefault="00061C62" w:rsidP="00C922DD">
      <w:pPr>
        <w:pStyle w:val="NoSpacing"/>
      </w:pPr>
    </w:p>
    <w:p w14:paraId="52893436" w14:textId="127A6F7C" w:rsidR="00061C62" w:rsidRPr="00BF1ACC" w:rsidRDefault="00061C62" w:rsidP="00C922DD">
      <w:pPr>
        <w:pStyle w:val="NoSpacing"/>
      </w:pPr>
      <w:r w:rsidRPr="00BF1ACC">
        <w:t xml:space="preserve">Members: </w:t>
      </w:r>
      <w:r w:rsidR="00E547B8">
        <w:t xml:space="preserve">Kat Barger, David Bedford, Joshua Bentley (off Spring 2019), Jill Havens, Russell Mack (sub for J. Bentley), Albert </w:t>
      </w:r>
      <w:proofErr w:type="spellStart"/>
      <w:r w:rsidR="00E547B8">
        <w:t>Marichal</w:t>
      </w:r>
      <w:proofErr w:type="spellEnd"/>
      <w:r w:rsidR="00E547B8">
        <w:t xml:space="preserve">, Rhiannon Mayne, Joan, </w:t>
      </w:r>
      <w:proofErr w:type="spellStart"/>
      <w:r w:rsidR="00E547B8">
        <w:t>McGettigan</w:t>
      </w:r>
      <w:proofErr w:type="spellEnd"/>
      <w:r w:rsidR="00E547B8">
        <w:t xml:space="preserve">, </w:t>
      </w:r>
      <w:proofErr w:type="spellStart"/>
      <w:r w:rsidR="00E547B8">
        <w:t>Ranga</w:t>
      </w:r>
      <w:proofErr w:type="spellEnd"/>
      <w:r w:rsidR="00E547B8">
        <w:t xml:space="preserve"> </w:t>
      </w:r>
      <w:proofErr w:type="spellStart"/>
      <w:r w:rsidR="00E547B8">
        <w:t>Ramasesh</w:t>
      </w:r>
      <w:proofErr w:type="spellEnd"/>
    </w:p>
    <w:p w14:paraId="74A4EC62" w14:textId="77777777" w:rsidR="00061C62" w:rsidRPr="00BF1ACC" w:rsidRDefault="00061C62" w:rsidP="00C922DD">
      <w:pPr>
        <w:pStyle w:val="NoSpacing"/>
      </w:pPr>
    </w:p>
    <w:p w14:paraId="760D5399" w14:textId="392EEF48" w:rsidR="00061C62" w:rsidRPr="00BF1ACC" w:rsidRDefault="00061C62" w:rsidP="00C922DD">
      <w:pPr>
        <w:pStyle w:val="NoSpacing"/>
        <w:rPr>
          <w:b/>
          <w:u w:val="single"/>
        </w:rPr>
      </w:pPr>
      <w:r w:rsidRPr="00BF1ACC">
        <w:rPr>
          <w:b/>
          <w:u w:val="single"/>
        </w:rPr>
        <w:t>Standing Charges 201</w:t>
      </w:r>
      <w:r w:rsidR="00E547B8">
        <w:rPr>
          <w:b/>
          <w:u w:val="single"/>
        </w:rPr>
        <w:t>8</w:t>
      </w:r>
      <w:r w:rsidRPr="00BF1ACC">
        <w:rPr>
          <w:b/>
          <w:u w:val="single"/>
        </w:rPr>
        <w:t>-201</w:t>
      </w:r>
      <w:r w:rsidR="00E547B8">
        <w:rPr>
          <w:b/>
          <w:u w:val="single"/>
        </w:rPr>
        <w:t>9</w:t>
      </w:r>
    </w:p>
    <w:p w14:paraId="784D1947" w14:textId="77777777" w:rsidR="00061C62" w:rsidRPr="00BF1ACC" w:rsidRDefault="00061C62" w:rsidP="00C922DD">
      <w:pPr>
        <w:pStyle w:val="NoSpacing"/>
      </w:pPr>
    </w:p>
    <w:p w14:paraId="40CFAD02" w14:textId="77777777" w:rsidR="00061C62" w:rsidRPr="00BF1ACC" w:rsidRDefault="00061C62" w:rsidP="00061C62">
      <w:pPr>
        <w:pStyle w:val="NoSpacing"/>
        <w:numPr>
          <w:ilvl w:val="0"/>
          <w:numId w:val="1"/>
        </w:numPr>
        <w:rPr>
          <w:b/>
        </w:rPr>
      </w:pPr>
      <w:r w:rsidRPr="00BF1ACC">
        <w:rPr>
          <w:b/>
        </w:rPr>
        <w:t>Represent interest of faculty on issues of teaching quality and support (technology, services, resources/training, classroom)</w:t>
      </w:r>
    </w:p>
    <w:p w14:paraId="038464CA" w14:textId="4A8C7555" w:rsidR="00CC1266" w:rsidRPr="00E547B8" w:rsidRDefault="00E547B8" w:rsidP="003139A4">
      <w:pPr>
        <w:pStyle w:val="NoSpacing"/>
        <w:numPr>
          <w:ilvl w:val="0"/>
          <w:numId w:val="5"/>
        </w:numPr>
        <w:rPr>
          <w:b/>
        </w:rPr>
      </w:pPr>
      <w:r>
        <w:t>The release by Bryan Lucas of the IT Master Plan addressed all of the core concerns brought forth by EEC last year</w:t>
      </w:r>
      <w:r w:rsidR="00CC1266">
        <w:t>.</w:t>
      </w:r>
    </w:p>
    <w:p w14:paraId="097E1F5D" w14:textId="7E3BAE78" w:rsidR="00E547B8" w:rsidRPr="00E547B8" w:rsidRDefault="00E547B8" w:rsidP="003139A4">
      <w:pPr>
        <w:pStyle w:val="NoSpacing"/>
        <w:numPr>
          <w:ilvl w:val="0"/>
          <w:numId w:val="5"/>
        </w:numPr>
      </w:pPr>
      <w:r w:rsidRPr="00E547B8">
        <w:t>EEC will</w:t>
      </w:r>
      <w:r>
        <w:t xml:space="preserve"> continue to work with IT and IS during the planning and implementation of classroom technology upgrades</w:t>
      </w:r>
    </w:p>
    <w:p w14:paraId="091B5734" w14:textId="77777777" w:rsidR="00061C62" w:rsidRDefault="00061C62" w:rsidP="00061C62">
      <w:pPr>
        <w:pStyle w:val="NoSpacing"/>
        <w:numPr>
          <w:ilvl w:val="0"/>
          <w:numId w:val="1"/>
        </w:numPr>
      </w:pPr>
      <w:r w:rsidRPr="00BF1ACC">
        <w:t>Act as a consultative body for the University Evaluation Committee regarding Student Perception of Teaching (SPOT) survey policies and practices</w:t>
      </w:r>
      <w:r w:rsidR="00256BC1">
        <w:t>.</w:t>
      </w:r>
    </w:p>
    <w:p w14:paraId="78ED13BE" w14:textId="77777777" w:rsidR="00EC3F91" w:rsidRDefault="006B36BB" w:rsidP="00EC3F91">
      <w:pPr>
        <w:pStyle w:val="NoSpacing"/>
        <w:numPr>
          <w:ilvl w:val="0"/>
          <w:numId w:val="7"/>
        </w:numPr>
      </w:pPr>
      <w:r>
        <w:t>With the new shorter SPOT format, the committee wants to allow time for response rate data.</w:t>
      </w:r>
    </w:p>
    <w:p w14:paraId="3A1B6685" w14:textId="77777777" w:rsidR="00EC3F91" w:rsidRDefault="00EC3F91" w:rsidP="00EC3F91">
      <w:pPr>
        <w:pStyle w:val="NoSpacing"/>
        <w:numPr>
          <w:ilvl w:val="0"/>
          <w:numId w:val="7"/>
        </w:numPr>
      </w:pPr>
      <w:r>
        <w:t>The committee would like to work on how to educate students on gender, minorities, and other biases, possible to delay of grade for non-completed SPOT, other evaluation methods of teaching, and actual assessment value of SPOT</w:t>
      </w:r>
    </w:p>
    <w:p w14:paraId="4838D7F4" w14:textId="77777777" w:rsidR="00061C62" w:rsidRPr="00BF1ACC" w:rsidRDefault="00061C62" w:rsidP="00061C62">
      <w:pPr>
        <w:pStyle w:val="NoSpacing"/>
      </w:pPr>
    </w:p>
    <w:p w14:paraId="47C18B19" w14:textId="77777777" w:rsidR="00061C62" w:rsidRPr="00BF1ACC" w:rsidRDefault="00061C62" w:rsidP="00061C62">
      <w:pPr>
        <w:pStyle w:val="NoSpacing"/>
        <w:rPr>
          <w:b/>
          <w:u w:val="single"/>
        </w:rPr>
      </w:pPr>
    </w:p>
    <w:p w14:paraId="670227A7" w14:textId="0DF4B97F" w:rsidR="00061C62" w:rsidRPr="00BF1ACC" w:rsidRDefault="00061C62" w:rsidP="00061C62">
      <w:pPr>
        <w:pStyle w:val="NoSpacing"/>
        <w:rPr>
          <w:b/>
          <w:u w:val="single"/>
        </w:rPr>
      </w:pPr>
      <w:r w:rsidRPr="00BF1ACC">
        <w:rPr>
          <w:b/>
          <w:u w:val="single"/>
        </w:rPr>
        <w:t>Special Charges 201</w:t>
      </w:r>
      <w:r w:rsidR="00E547B8">
        <w:rPr>
          <w:b/>
          <w:u w:val="single"/>
        </w:rPr>
        <w:t>8</w:t>
      </w:r>
      <w:r w:rsidRPr="00BF1ACC">
        <w:rPr>
          <w:b/>
          <w:u w:val="single"/>
        </w:rPr>
        <w:t>- 201</w:t>
      </w:r>
      <w:r w:rsidR="00E547B8">
        <w:rPr>
          <w:b/>
          <w:u w:val="single"/>
        </w:rPr>
        <w:t>9</w:t>
      </w:r>
    </w:p>
    <w:p w14:paraId="58B82F3F" w14:textId="77777777" w:rsidR="00C922DD" w:rsidRPr="00BF1ACC" w:rsidRDefault="00C922DD" w:rsidP="00C922DD">
      <w:pPr>
        <w:pStyle w:val="NoSpacing"/>
      </w:pPr>
    </w:p>
    <w:p w14:paraId="2CF96E36" w14:textId="77777777" w:rsidR="00AB33D2" w:rsidRPr="00AC6791" w:rsidRDefault="00AB33D2" w:rsidP="00AB33D2">
      <w:pPr>
        <w:pStyle w:val="ListParagraph"/>
        <w:numPr>
          <w:ilvl w:val="0"/>
          <w:numId w:val="3"/>
        </w:numPr>
        <w:rPr>
          <w:b/>
        </w:rPr>
      </w:pPr>
      <w:r w:rsidRPr="00AC6791">
        <w:rPr>
          <w:b/>
        </w:rPr>
        <w:t>Continue to work with department chairs and deans to facilitate the implementation of the “Best Practices” recommendations from the Faculty Senate (2011) on teaching excellence and evaluation.</w:t>
      </w:r>
    </w:p>
    <w:p w14:paraId="7805DDCA" w14:textId="245AF48D" w:rsidR="00BF1ACC" w:rsidRDefault="00BF1ACC" w:rsidP="00BF1ACC">
      <w:pPr>
        <w:pStyle w:val="ListParagraph"/>
        <w:numPr>
          <w:ilvl w:val="0"/>
          <w:numId w:val="5"/>
        </w:numPr>
      </w:pPr>
      <w:r>
        <w:t>The flyers on “Best Practices for the Evaluation of Teaching” and “Recommended Guidelines for Teaching Evaluation for Deans, Chairs and Committees” was sent from the Provost to the faculty in October 2017.</w:t>
      </w:r>
      <w:r w:rsidR="003E5375">
        <w:t xml:space="preserve">   Follow-up with Provost to send out to faculty in April</w:t>
      </w:r>
    </w:p>
    <w:p w14:paraId="50649AF1" w14:textId="7F8EC887" w:rsidR="00E547B8" w:rsidRDefault="00E547B8" w:rsidP="00BF1ACC">
      <w:pPr>
        <w:pStyle w:val="ListParagraph"/>
        <w:numPr>
          <w:ilvl w:val="0"/>
          <w:numId w:val="5"/>
        </w:numPr>
      </w:pPr>
      <w:r>
        <w:t>More effective implementation of these policies must be achieved. Department chairs are often not aware (despite the efforts of this committee and the Provost’s office) and therefore do not fully implement the recommendations. The EEC would like these documents included as part of Department Chair training.</w:t>
      </w:r>
    </w:p>
    <w:p w14:paraId="2D6AB61E" w14:textId="77777777" w:rsidR="00C65919" w:rsidRDefault="00C65919" w:rsidP="00FE2397">
      <w:pPr>
        <w:pStyle w:val="NoSpacing"/>
      </w:pPr>
    </w:p>
    <w:p w14:paraId="5802B27C" w14:textId="6272D63F" w:rsidR="00E547B8" w:rsidRPr="00AC6791" w:rsidRDefault="00E547B8" w:rsidP="00E547B8">
      <w:pPr>
        <w:pStyle w:val="ListParagraph"/>
        <w:numPr>
          <w:ilvl w:val="0"/>
          <w:numId w:val="3"/>
        </w:numPr>
        <w:rPr>
          <w:b/>
        </w:rPr>
      </w:pPr>
      <w:r>
        <w:rPr>
          <w:b/>
        </w:rPr>
        <w:t>Evaluate the appropriate usage of SPOTs for Annual review, Tenure &amp; Promotion</w:t>
      </w:r>
      <w:r w:rsidRPr="00AC6791">
        <w:rPr>
          <w:b/>
        </w:rPr>
        <w:t>.</w:t>
      </w:r>
    </w:p>
    <w:p w14:paraId="71D964D4" w14:textId="7A8AF148" w:rsidR="00C65919" w:rsidRDefault="00E547B8" w:rsidP="00E547B8">
      <w:pPr>
        <w:pStyle w:val="ListParagraph"/>
        <w:numPr>
          <w:ilvl w:val="0"/>
          <w:numId w:val="5"/>
        </w:numPr>
      </w:pPr>
      <w:r>
        <w:t>Fall 2019: Bring to the floor of the full Faculty Senate the following resolution:</w:t>
      </w:r>
    </w:p>
    <w:p w14:paraId="3F575782" w14:textId="5B8876D1" w:rsidR="00E547B8" w:rsidRDefault="00E547B8" w:rsidP="00E547B8">
      <w:pPr>
        <w:pStyle w:val="ListParagraph"/>
        <w:numPr>
          <w:ilvl w:val="0"/>
          <w:numId w:val="5"/>
        </w:numPr>
      </w:pPr>
      <w:r>
        <w:t>(</w:t>
      </w:r>
      <w:r w:rsidR="00A2418F">
        <w:t xml:space="preserve">Draft Resolution on </w:t>
      </w:r>
      <w:r>
        <w:t>next page)</w:t>
      </w:r>
    </w:p>
    <w:p w14:paraId="1D430FB0" w14:textId="2A03401B" w:rsidR="00A2418F" w:rsidRDefault="00A2418F" w:rsidP="00E547B8">
      <w:pPr>
        <w:pStyle w:val="ListParagraph"/>
        <w:numPr>
          <w:ilvl w:val="0"/>
          <w:numId w:val="5"/>
        </w:numPr>
      </w:pPr>
      <w:r>
        <w:t>Provost Dahlberg has indicated she is willing to attend an EEC meeting Fall 19 to discuss the appropriate use of SPOTs</w:t>
      </w:r>
    </w:p>
    <w:p w14:paraId="59BF0D98" w14:textId="4534C1BD" w:rsidR="00A2418F" w:rsidRDefault="00A2418F" w:rsidP="00E547B8">
      <w:pPr>
        <w:pStyle w:val="ListParagraph"/>
        <w:numPr>
          <w:ilvl w:val="0"/>
          <w:numId w:val="5"/>
        </w:numPr>
      </w:pPr>
      <w:r>
        <w:lastRenderedPageBreak/>
        <w:t>Due to the ongoing nature of this resolution and the passionate support for it by members of EEC, current members of EEC have requested they be allowed to remain on the EEC committee for 2019-2020.</w:t>
      </w:r>
    </w:p>
    <w:p w14:paraId="248CFCE4" w14:textId="4FCE7638" w:rsidR="00A2418F" w:rsidRDefault="00A2418F" w:rsidP="00A2418F">
      <w:pPr>
        <w:pBdr>
          <w:bottom w:val="single" w:sz="6" w:space="1" w:color="auto"/>
        </w:pBdr>
        <w:rPr>
          <w:rFonts w:cstheme="minorHAnsi"/>
          <w:bCs/>
        </w:rPr>
      </w:pPr>
    </w:p>
    <w:p w14:paraId="60628001" w14:textId="77777777" w:rsidR="00E547B8" w:rsidRPr="00E547B8" w:rsidRDefault="00E547B8" w:rsidP="00E547B8">
      <w:pPr>
        <w:pStyle w:val="NormalWeb"/>
        <w:shd w:val="clear" w:color="auto" w:fill="FFFFFF"/>
        <w:ind w:left="1440" w:hanging="360"/>
        <w:rPr>
          <w:rFonts w:asciiTheme="minorHAnsi" w:hAnsiTheme="minorHAnsi" w:cstheme="minorHAnsi"/>
        </w:rPr>
      </w:pPr>
      <w:bookmarkStart w:id="0" w:name="_GoBack"/>
      <w:bookmarkEnd w:id="0"/>
      <w:r w:rsidRPr="00E547B8">
        <w:rPr>
          <w:rFonts w:asciiTheme="minorHAnsi" w:hAnsiTheme="minorHAnsi" w:cstheme="minorHAnsi"/>
          <w:bCs/>
        </w:rPr>
        <w:t xml:space="preserve">THE USE OF SPOT SURVEY RESULTS AT TCU </w:t>
      </w:r>
    </w:p>
    <w:p w14:paraId="3DD593AF" w14:textId="77777777" w:rsidR="00E547B8" w:rsidRPr="00E547B8" w:rsidRDefault="00E547B8" w:rsidP="00E547B8">
      <w:pPr>
        <w:pStyle w:val="NormalWeb"/>
        <w:shd w:val="clear" w:color="auto" w:fill="FFFFFF"/>
        <w:ind w:left="1440" w:hanging="360"/>
        <w:rPr>
          <w:rFonts w:asciiTheme="minorHAnsi" w:hAnsiTheme="minorHAnsi" w:cstheme="minorHAnsi"/>
        </w:rPr>
      </w:pPr>
      <w:r w:rsidRPr="00E547B8">
        <w:rPr>
          <w:rFonts w:asciiTheme="minorHAnsi" w:hAnsiTheme="minorHAnsi" w:cstheme="minorHAnsi"/>
          <w:bCs/>
        </w:rPr>
        <w:t xml:space="preserve">SPOT surveys have usefulness in helping faculty with self-evaluation, but should be used only with caution, due to their limitations and disadvantages as an analytical tool. </w:t>
      </w:r>
    </w:p>
    <w:p w14:paraId="458F7AF0" w14:textId="77777777" w:rsidR="00E547B8" w:rsidRPr="00E547B8" w:rsidRDefault="00E547B8" w:rsidP="00E547B8">
      <w:pPr>
        <w:pStyle w:val="NormalWeb"/>
        <w:shd w:val="clear" w:color="auto" w:fill="FFFFFF"/>
        <w:ind w:left="1440" w:hanging="360"/>
        <w:rPr>
          <w:rFonts w:asciiTheme="minorHAnsi" w:hAnsiTheme="minorHAnsi" w:cstheme="minorHAnsi"/>
        </w:rPr>
      </w:pPr>
      <w:r w:rsidRPr="00E547B8">
        <w:rPr>
          <w:rFonts w:asciiTheme="minorHAnsi" w:hAnsiTheme="minorHAnsi" w:cstheme="minorHAnsi"/>
          <w:bCs/>
        </w:rPr>
        <w:t xml:space="preserve">The Faculty Senate strongly recommends that SPOT surveys be used </w:t>
      </w:r>
      <w:r w:rsidRPr="00E547B8">
        <w:rPr>
          <w:rFonts w:asciiTheme="minorHAnsi" w:hAnsiTheme="minorHAnsi" w:cstheme="minorHAnsi"/>
        </w:rPr>
        <w:t>​</w:t>
      </w:r>
      <w:r w:rsidRPr="00E547B8">
        <w:rPr>
          <w:rFonts w:asciiTheme="minorHAnsi" w:hAnsiTheme="minorHAnsi" w:cstheme="minorHAnsi"/>
          <w:bCs/>
          <w:i/>
          <w:iCs/>
        </w:rPr>
        <w:t>primarily and, ideally, exclusively, for the purpose of faculty self-evaluation</w:t>
      </w:r>
      <w:r w:rsidRPr="00E547B8">
        <w:rPr>
          <w:rFonts w:asciiTheme="minorHAnsi" w:hAnsiTheme="minorHAnsi" w:cstheme="minorHAnsi"/>
        </w:rPr>
        <w:t xml:space="preserve">​ </w:t>
      </w:r>
      <w:r w:rsidRPr="00E547B8">
        <w:rPr>
          <w:rFonts w:asciiTheme="minorHAnsi" w:hAnsiTheme="minorHAnsi" w:cstheme="minorHAnsi"/>
          <w:bCs/>
        </w:rPr>
        <w:t xml:space="preserve">and that they </w:t>
      </w:r>
      <w:r w:rsidRPr="00E547B8">
        <w:rPr>
          <w:rFonts w:asciiTheme="minorHAnsi" w:hAnsiTheme="minorHAnsi" w:cstheme="minorHAnsi"/>
        </w:rPr>
        <w:t>​</w:t>
      </w:r>
      <w:r w:rsidRPr="00E547B8">
        <w:rPr>
          <w:rFonts w:asciiTheme="minorHAnsi" w:hAnsiTheme="minorHAnsi" w:cstheme="minorHAnsi"/>
          <w:bCs/>
          <w:i/>
          <w:iCs/>
        </w:rPr>
        <w:t>not</w:t>
      </w:r>
      <w:r w:rsidRPr="00E547B8">
        <w:rPr>
          <w:rFonts w:asciiTheme="minorHAnsi" w:hAnsiTheme="minorHAnsi" w:cstheme="minorHAnsi"/>
        </w:rPr>
        <w:t xml:space="preserve">​ </w:t>
      </w:r>
      <w:r w:rsidRPr="00E547B8">
        <w:rPr>
          <w:rFonts w:asciiTheme="minorHAnsi" w:hAnsiTheme="minorHAnsi" w:cstheme="minorHAnsi"/>
          <w:bCs/>
        </w:rPr>
        <w:t xml:space="preserve">be used as a significant factor in determining tenure or promotion. </w:t>
      </w:r>
    </w:p>
    <w:p w14:paraId="2C6C2547" w14:textId="77777777" w:rsidR="00E547B8" w:rsidRPr="00E547B8" w:rsidRDefault="00E547B8" w:rsidP="00E547B8">
      <w:pPr>
        <w:pStyle w:val="NormalWeb"/>
        <w:shd w:val="clear" w:color="auto" w:fill="FFFFFF"/>
        <w:ind w:left="1440" w:hanging="360"/>
        <w:rPr>
          <w:rFonts w:asciiTheme="minorHAnsi" w:hAnsiTheme="minorHAnsi" w:cstheme="minorHAnsi"/>
        </w:rPr>
      </w:pPr>
      <w:r w:rsidRPr="00E547B8">
        <w:rPr>
          <w:rFonts w:asciiTheme="minorHAnsi" w:hAnsiTheme="minorHAnsi" w:cstheme="minorHAnsi"/>
          <w:bCs/>
        </w:rPr>
        <w:t xml:space="preserve">If used at all for tenure or promotion-related purposes, SPOTs should be restricted to a secondary factor only, comprising </w:t>
      </w:r>
      <w:r w:rsidRPr="00E547B8">
        <w:rPr>
          <w:rFonts w:asciiTheme="minorHAnsi" w:hAnsiTheme="minorHAnsi" w:cstheme="minorHAnsi"/>
        </w:rPr>
        <w:t>​</w:t>
      </w:r>
      <w:r w:rsidRPr="00E547B8">
        <w:rPr>
          <w:rFonts w:asciiTheme="minorHAnsi" w:hAnsiTheme="minorHAnsi" w:cstheme="minorHAnsi"/>
          <w:bCs/>
          <w:i/>
          <w:iCs/>
        </w:rPr>
        <w:t>not more than</w:t>
      </w:r>
      <w:r w:rsidRPr="00E547B8">
        <w:rPr>
          <w:rFonts w:asciiTheme="minorHAnsi" w:hAnsiTheme="minorHAnsi" w:cstheme="minorHAnsi"/>
        </w:rPr>
        <w:t xml:space="preserve">​ </w:t>
      </w:r>
      <w:r w:rsidRPr="00E547B8">
        <w:rPr>
          <w:rFonts w:asciiTheme="minorHAnsi" w:hAnsiTheme="minorHAnsi" w:cstheme="minorHAnsi"/>
          <w:bCs/>
        </w:rPr>
        <w:t xml:space="preserve">30% of decision-making in those areas. </w:t>
      </w:r>
    </w:p>
    <w:p w14:paraId="4BDED156" w14:textId="77777777" w:rsidR="00E547B8" w:rsidRPr="00E547B8" w:rsidRDefault="00E547B8" w:rsidP="00E547B8">
      <w:pPr>
        <w:pStyle w:val="NormalWeb"/>
        <w:shd w:val="clear" w:color="auto" w:fill="FFFFFF"/>
        <w:ind w:left="1440" w:hanging="360"/>
        <w:rPr>
          <w:rFonts w:asciiTheme="minorHAnsi" w:hAnsiTheme="minorHAnsi" w:cstheme="minorHAnsi"/>
        </w:rPr>
      </w:pPr>
      <w:r w:rsidRPr="00E547B8">
        <w:rPr>
          <w:rFonts w:asciiTheme="minorHAnsi" w:hAnsiTheme="minorHAnsi" w:cstheme="minorHAnsi"/>
          <w:bCs/>
        </w:rPr>
        <w:t xml:space="preserve">The Faculty Senate further requests that these principles for the limited use of SPOT surveys be annually communicated to all faculty and administration at TCU. </w:t>
      </w:r>
    </w:p>
    <w:p w14:paraId="3972B7C4" w14:textId="77777777" w:rsidR="00E547B8" w:rsidRPr="00E547B8" w:rsidRDefault="00E547B8" w:rsidP="00E547B8">
      <w:pPr>
        <w:pStyle w:val="ListParagraph"/>
        <w:ind w:left="1440"/>
      </w:pPr>
    </w:p>
    <w:sectPr w:rsidR="00E547B8" w:rsidRPr="00E5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2F68"/>
    <w:multiLevelType w:val="hybridMultilevel"/>
    <w:tmpl w:val="D5745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72073"/>
    <w:multiLevelType w:val="hybridMultilevel"/>
    <w:tmpl w:val="43941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F94D7F"/>
    <w:multiLevelType w:val="hybridMultilevel"/>
    <w:tmpl w:val="B0100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4096A"/>
    <w:multiLevelType w:val="hybridMultilevel"/>
    <w:tmpl w:val="B816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22F5A"/>
    <w:multiLevelType w:val="hybridMultilevel"/>
    <w:tmpl w:val="7B387CCC"/>
    <w:lvl w:ilvl="0" w:tplc="ABE02F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B34311F"/>
    <w:multiLevelType w:val="hybridMultilevel"/>
    <w:tmpl w:val="BC00EA78"/>
    <w:lvl w:ilvl="0" w:tplc="7F22E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54A40"/>
    <w:multiLevelType w:val="hybridMultilevel"/>
    <w:tmpl w:val="79A2A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944C70"/>
    <w:multiLevelType w:val="hybridMultilevel"/>
    <w:tmpl w:val="5130E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BC2FB8"/>
    <w:multiLevelType w:val="multilevel"/>
    <w:tmpl w:val="BD7CD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DD"/>
    <w:rsid w:val="00061C62"/>
    <w:rsid w:val="000D5E2A"/>
    <w:rsid w:val="00101647"/>
    <w:rsid w:val="00256BC1"/>
    <w:rsid w:val="002670DC"/>
    <w:rsid w:val="002E2DD9"/>
    <w:rsid w:val="003139A4"/>
    <w:rsid w:val="003E5375"/>
    <w:rsid w:val="003F3C8F"/>
    <w:rsid w:val="00405CEA"/>
    <w:rsid w:val="00414176"/>
    <w:rsid w:val="005746AC"/>
    <w:rsid w:val="006A40CA"/>
    <w:rsid w:val="006B36BB"/>
    <w:rsid w:val="007614E7"/>
    <w:rsid w:val="00A2418F"/>
    <w:rsid w:val="00A324DC"/>
    <w:rsid w:val="00AB33D2"/>
    <w:rsid w:val="00AC6791"/>
    <w:rsid w:val="00BD4F4F"/>
    <w:rsid w:val="00BF1ACC"/>
    <w:rsid w:val="00BF62C4"/>
    <w:rsid w:val="00C20298"/>
    <w:rsid w:val="00C65919"/>
    <w:rsid w:val="00C922DD"/>
    <w:rsid w:val="00CC1266"/>
    <w:rsid w:val="00CF6E40"/>
    <w:rsid w:val="00DE7B49"/>
    <w:rsid w:val="00E547B8"/>
    <w:rsid w:val="00EC3F91"/>
    <w:rsid w:val="00F419CD"/>
    <w:rsid w:val="00F94201"/>
    <w:rsid w:val="00F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641C"/>
  <w15:chartTrackingRefBased/>
  <w15:docId w15:val="{C54A70EB-87B0-450C-BFAB-38431FC8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65919"/>
    <w:pPr>
      <w:spacing w:before="100" w:beforeAutospacing="1" w:after="100" w:afterAutospacing="1" w:line="240" w:lineRule="auto"/>
      <w:outlineLvl w:val="1"/>
    </w:pPr>
    <w:rPr>
      <w:rFonts w:ascii="Calibri" w:hAnsi="Calibri"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2DD"/>
    <w:pPr>
      <w:spacing w:after="0" w:line="240" w:lineRule="auto"/>
    </w:pPr>
  </w:style>
  <w:style w:type="paragraph" w:styleId="ListParagraph">
    <w:name w:val="List Paragraph"/>
    <w:basedOn w:val="Normal"/>
    <w:uiPriority w:val="34"/>
    <w:qFormat/>
    <w:rsid w:val="00AB33D2"/>
    <w:pPr>
      <w:spacing w:after="0" w:line="240" w:lineRule="auto"/>
      <w:ind w:left="720"/>
      <w:contextualSpacing/>
    </w:pPr>
  </w:style>
  <w:style w:type="character" w:customStyle="1" w:styleId="Heading2Char">
    <w:name w:val="Heading 2 Char"/>
    <w:basedOn w:val="DefaultParagraphFont"/>
    <w:link w:val="Heading2"/>
    <w:uiPriority w:val="9"/>
    <w:semiHidden/>
    <w:rsid w:val="00C65919"/>
    <w:rPr>
      <w:rFonts w:ascii="Calibri" w:hAnsi="Calibri" w:cs="Times New Roman"/>
      <w:b/>
      <w:bCs/>
      <w:sz w:val="36"/>
      <w:szCs w:val="36"/>
    </w:rPr>
  </w:style>
  <w:style w:type="character" w:styleId="Hyperlink">
    <w:name w:val="Hyperlink"/>
    <w:basedOn w:val="DefaultParagraphFont"/>
    <w:uiPriority w:val="99"/>
    <w:semiHidden/>
    <w:unhideWhenUsed/>
    <w:rsid w:val="00C65919"/>
    <w:rPr>
      <w:color w:val="0563C1"/>
      <w:u w:val="single"/>
    </w:rPr>
  </w:style>
  <w:style w:type="character" w:styleId="Strong">
    <w:name w:val="Strong"/>
    <w:basedOn w:val="DefaultParagraphFont"/>
    <w:uiPriority w:val="22"/>
    <w:qFormat/>
    <w:rsid w:val="00C65919"/>
    <w:rPr>
      <w:b/>
      <w:bCs/>
    </w:rPr>
  </w:style>
  <w:style w:type="paragraph" w:styleId="NormalWeb">
    <w:name w:val="Normal (Web)"/>
    <w:basedOn w:val="Normal"/>
    <w:uiPriority w:val="99"/>
    <w:semiHidden/>
    <w:unhideWhenUsed/>
    <w:rsid w:val="00E547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0815">
      <w:bodyDiv w:val="1"/>
      <w:marLeft w:val="0"/>
      <w:marRight w:val="0"/>
      <w:marTop w:val="0"/>
      <w:marBottom w:val="0"/>
      <w:divBdr>
        <w:top w:val="none" w:sz="0" w:space="0" w:color="auto"/>
        <w:left w:val="none" w:sz="0" w:space="0" w:color="auto"/>
        <w:bottom w:val="none" w:sz="0" w:space="0" w:color="auto"/>
        <w:right w:val="none" w:sz="0" w:space="0" w:color="auto"/>
      </w:divBdr>
      <w:divsChild>
        <w:div w:id="610362078">
          <w:marLeft w:val="0"/>
          <w:marRight w:val="0"/>
          <w:marTop w:val="0"/>
          <w:marBottom w:val="0"/>
          <w:divBdr>
            <w:top w:val="none" w:sz="0" w:space="0" w:color="auto"/>
            <w:left w:val="none" w:sz="0" w:space="0" w:color="auto"/>
            <w:bottom w:val="none" w:sz="0" w:space="0" w:color="auto"/>
            <w:right w:val="none" w:sz="0" w:space="0" w:color="auto"/>
          </w:divBdr>
          <w:divsChild>
            <w:div w:id="508058768">
              <w:marLeft w:val="0"/>
              <w:marRight w:val="0"/>
              <w:marTop w:val="0"/>
              <w:marBottom w:val="0"/>
              <w:divBdr>
                <w:top w:val="none" w:sz="0" w:space="0" w:color="auto"/>
                <w:left w:val="none" w:sz="0" w:space="0" w:color="auto"/>
                <w:bottom w:val="none" w:sz="0" w:space="0" w:color="auto"/>
                <w:right w:val="none" w:sz="0" w:space="0" w:color="auto"/>
              </w:divBdr>
              <w:divsChild>
                <w:div w:id="76022812">
                  <w:marLeft w:val="0"/>
                  <w:marRight w:val="0"/>
                  <w:marTop w:val="0"/>
                  <w:marBottom w:val="0"/>
                  <w:divBdr>
                    <w:top w:val="none" w:sz="0" w:space="0" w:color="auto"/>
                    <w:left w:val="none" w:sz="0" w:space="0" w:color="auto"/>
                    <w:bottom w:val="none" w:sz="0" w:space="0" w:color="auto"/>
                    <w:right w:val="none" w:sz="0" w:space="0" w:color="auto"/>
                  </w:divBdr>
                  <w:divsChild>
                    <w:div w:id="10605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87168">
      <w:bodyDiv w:val="1"/>
      <w:marLeft w:val="0"/>
      <w:marRight w:val="0"/>
      <w:marTop w:val="0"/>
      <w:marBottom w:val="0"/>
      <w:divBdr>
        <w:top w:val="none" w:sz="0" w:space="0" w:color="auto"/>
        <w:left w:val="none" w:sz="0" w:space="0" w:color="auto"/>
        <w:bottom w:val="none" w:sz="0" w:space="0" w:color="auto"/>
        <w:right w:val="none" w:sz="0" w:space="0" w:color="auto"/>
      </w:divBdr>
    </w:div>
    <w:div w:id="12971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Clark</dc:creator>
  <cp:keywords/>
  <dc:description/>
  <cp:lastModifiedBy>Michael Sawey</cp:lastModifiedBy>
  <cp:revision>4</cp:revision>
  <dcterms:created xsi:type="dcterms:W3CDTF">2019-04-29T19:44:00Z</dcterms:created>
  <dcterms:modified xsi:type="dcterms:W3CDTF">2019-04-29T20:32:00Z</dcterms:modified>
</cp:coreProperties>
</file>