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A1B0" w14:textId="77777777" w:rsidR="001773FC" w:rsidRPr="00281408" w:rsidRDefault="004F78C8">
      <w:pPr>
        <w:jc w:val="center"/>
        <w:outlineLvl w:val="0"/>
        <w:rPr>
          <w:b/>
          <w:bCs/>
          <w:sz w:val="22"/>
          <w:szCs w:val="22"/>
        </w:rPr>
      </w:pPr>
      <w:r w:rsidRPr="00281408">
        <w:rPr>
          <w:b/>
          <w:bCs/>
          <w:sz w:val="22"/>
          <w:szCs w:val="22"/>
        </w:rPr>
        <w:t>TCU Faculty Senate Meeting</w:t>
      </w:r>
    </w:p>
    <w:p w14:paraId="574DA731" w14:textId="46A2CABD" w:rsidR="001773FC" w:rsidRPr="00281408" w:rsidRDefault="00211503">
      <w:pPr>
        <w:jc w:val="center"/>
        <w:outlineLvl w:val="0"/>
        <w:rPr>
          <w:b/>
          <w:bCs/>
          <w:sz w:val="22"/>
          <w:szCs w:val="22"/>
        </w:rPr>
      </w:pPr>
      <w:r>
        <w:rPr>
          <w:b/>
          <w:bCs/>
          <w:sz w:val="22"/>
          <w:szCs w:val="22"/>
        </w:rPr>
        <w:t>5 September</w:t>
      </w:r>
      <w:r w:rsidR="003B662F" w:rsidRPr="00281408">
        <w:rPr>
          <w:b/>
          <w:bCs/>
          <w:sz w:val="22"/>
          <w:szCs w:val="22"/>
        </w:rPr>
        <w:t xml:space="preserve"> 201</w:t>
      </w:r>
      <w:r w:rsidR="00830E19" w:rsidRPr="00281408">
        <w:rPr>
          <w:b/>
          <w:bCs/>
          <w:sz w:val="22"/>
          <w:szCs w:val="22"/>
        </w:rPr>
        <w:t>9</w:t>
      </w:r>
    </w:p>
    <w:p w14:paraId="5913DCDD" w14:textId="77777777" w:rsidR="001773FC" w:rsidRPr="00281408" w:rsidRDefault="004F78C8">
      <w:pPr>
        <w:jc w:val="center"/>
        <w:outlineLvl w:val="0"/>
        <w:rPr>
          <w:b/>
          <w:bCs/>
          <w:sz w:val="22"/>
          <w:szCs w:val="22"/>
        </w:rPr>
      </w:pPr>
      <w:r w:rsidRPr="00281408">
        <w:rPr>
          <w:b/>
          <w:bCs/>
          <w:sz w:val="22"/>
          <w:szCs w:val="22"/>
        </w:rPr>
        <w:t>3:30 – 5:00 PM</w:t>
      </w:r>
    </w:p>
    <w:p w14:paraId="6A0CF0DC" w14:textId="77777777" w:rsidR="001773FC" w:rsidRPr="00281408" w:rsidRDefault="004F78C8">
      <w:pPr>
        <w:jc w:val="center"/>
        <w:outlineLvl w:val="0"/>
        <w:rPr>
          <w:b/>
          <w:bCs/>
          <w:sz w:val="22"/>
          <w:szCs w:val="22"/>
        </w:rPr>
      </w:pPr>
      <w:r w:rsidRPr="00281408">
        <w:rPr>
          <w:b/>
          <w:bCs/>
          <w:sz w:val="22"/>
          <w:szCs w:val="22"/>
        </w:rPr>
        <w:t>Faculty Senate Chambers</w:t>
      </w:r>
    </w:p>
    <w:p w14:paraId="0D811B51" w14:textId="77777777" w:rsidR="001773FC" w:rsidRPr="00281408" w:rsidRDefault="001773FC">
      <w:pPr>
        <w:jc w:val="center"/>
        <w:outlineLvl w:val="0"/>
        <w:rPr>
          <w:b/>
          <w:bCs/>
          <w:sz w:val="22"/>
          <w:szCs w:val="22"/>
        </w:rPr>
      </w:pPr>
    </w:p>
    <w:p w14:paraId="2D019B6A" w14:textId="77777777" w:rsidR="001773FC" w:rsidRPr="00281408" w:rsidRDefault="004F78C8">
      <w:pPr>
        <w:jc w:val="center"/>
        <w:outlineLvl w:val="0"/>
        <w:rPr>
          <w:b/>
          <w:bCs/>
          <w:sz w:val="22"/>
          <w:szCs w:val="22"/>
          <w:u w:val="single"/>
        </w:rPr>
      </w:pPr>
      <w:r w:rsidRPr="00281408">
        <w:rPr>
          <w:b/>
          <w:bCs/>
          <w:sz w:val="22"/>
          <w:szCs w:val="22"/>
          <w:u w:val="single"/>
        </w:rPr>
        <w:t>Minutes</w:t>
      </w:r>
    </w:p>
    <w:p w14:paraId="31B3F2B2" w14:textId="77777777" w:rsidR="001773FC" w:rsidRPr="00281408" w:rsidRDefault="001773FC">
      <w:pPr>
        <w:jc w:val="center"/>
        <w:outlineLvl w:val="0"/>
        <w:rPr>
          <w:b/>
          <w:bCs/>
          <w:sz w:val="22"/>
          <w:szCs w:val="22"/>
          <w:u w:val="single"/>
        </w:rPr>
      </w:pPr>
    </w:p>
    <w:p w14:paraId="7E7997A8" w14:textId="6B160A59" w:rsidR="00B46530" w:rsidRPr="00281408" w:rsidRDefault="004F78C8" w:rsidP="00B46530">
      <w:pPr>
        <w:outlineLvl w:val="0"/>
        <w:rPr>
          <w:sz w:val="22"/>
          <w:szCs w:val="22"/>
        </w:rPr>
      </w:pPr>
      <w:r w:rsidRPr="00281408">
        <w:rPr>
          <w:b/>
          <w:bCs/>
          <w:sz w:val="22"/>
          <w:szCs w:val="22"/>
        </w:rPr>
        <w:t>Senators Present</w:t>
      </w:r>
      <w:r w:rsidR="00196279" w:rsidRPr="00281408">
        <w:rPr>
          <w:b/>
          <w:bCs/>
          <w:sz w:val="22"/>
          <w:szCs w:val="22"/>
        </w:rPr>
        <w:t xml:space="preserve">: </w:t>
      </w:r>
      <w:r w:rsidR="00211503" w:rsidRPr="00211503">
        <w:rPr>
          <w:bCs/>
          <w:sz w:val="22"/>
          <w:szCs w:val="22"/>
        </w:rPr>
        <w:t xml:space="preserve">Alexander, Curby; </w:t>
      </w:r>
      <w:r w:rsidR="004E3144" w:rsidRPr="00281408">
        <w:rPr>
          <w:sz w:val="22"/>
          <w:szCs w:val="22"/>
        </w:rPr>
        <w:t xml:space="preserve">Barger, Kat; </w:t>
      </w:r>
      <w:r w:rsidR="00211503">
        <w:rPr>
          <w:sz w:val="22"/>
          <w:szCs w:val="22"/>
        </w:rPr>
        <w:t xml:space="preserve">Banos, Antonio; Bentley, Joshua; </w:t>
      </w:r>
      <w:r w:rsidR="00211503" w:rsidRPr="00281408">
        <w:rPr>
          <w:sz w:val="22"/>
          <w:szCs w:val="22"/>
        </w:rPr>
        <w:t>Bowen, Kendra;</w:t>
      </w:r>
      <w:r w:rsidR="00211503">
        <w:rPr>
          <w:sz w:val="22"/>
          <w:szCs w:val="22"/>
        </w:rPr>
        <w:t xml:space="preserve"> </w:t>
      </w:r>
      <w:r w:rsidR="00211503" w:rsidRPr="00281408">
        <w:rPr>
          <w:sz w:val="22"/>
          <w:szCs w:val="22"/>
        </w:rPr>
        <w:t xml:space="preserve">Busbey, Art; </w:t>
      </w:r>
      <w:r w:rsidR="00016F1A" w:rsidRPr="00281408">
        <w:rPr>
          <w:sz w:val="22"/>
          <w:szCs w:val="22"/>
        </w:rPr>
        <w:t>Carri</w:t>
      </w:r>
      <w:r w:rsidR="00016F1A" w:rsidRPr="00281408">
        <w:rPr>
          <w:rFonts w:cs="Times New Roman"/>
          <w:sz w:val="22"/>
          <w:szCs w:val="22"/>
        </w:rPr>
        <w:t>ó</w:t>
      </w:r>
      <w:r w:rsidR="00016F1A" w:rsidRPr="00281408">
        <w:rPr>
          <w:sz w:val="22"/>
          <w:szCs w:val="22"/>
        </w:rPr>
        <w:t>n, Jos</w:t>
      </w:r>
      <w:r w:rsidR="00016F1A" w:rsidRPr="00281408">
        <w:rPr>
          <w:rFonts w:cs="Times New Roman"/>
          <w:sz w:val="22"/>
          <w:szCs w:val="22"/>
        </w:rPr>
        <w:t xml:space="preserve">é; </w:t>
      </w:r>
      <w:r w:rsidR="00211503">
        <w:rPr>
          <w:rFonts w:cs="Times New Roman"/>
          <w:sz w:val="22"/>
          <w:szCs w:val="22"/>
        </w:rPr>
        <w:t xml:space="preserve">Craig, Layne; </w:t>
      </w:r>
      <w:r w:rsidR="000E3AF7">
        <w:rPr>
          <w:rFonts w:cs="Times New Roman"/>
          <w:sz w:val="22"/>
          <w:szCs w:val="22"/>
        </w:rPr>
        <w:t xml:space="preserve">Elwell, Sage; </w:t>
      </w:r>
      <w:r w:rsidR="00211503" w:rsidRPr="00281408">
        <w:rPr>
          <w:sz w:val="22"/>
          <w:szCs w:val="22"/>
        </w:rPr>
        <w:t xml:space="preserve">Esposito, Phil; </w:t>
      </w:r>
      <w:r w:rsidR="00677AF9" w:rsidRPr="00281408">
        <w:rPr>
          <w:sz w:val="22"/>
          <w:szCs w:val="22"/>
        </w:rPr>
        <w:t xml:space="preserve">Frable, Pamela; </w:t>
      </w:r>
      <w:r w:rsidR="008D26E2" w:rsidRPr="00281408">
        <w:rPr>
          <w:sz w:val="22"/>
          <w:szCs w:val="22"/>
        </w:rPr>
        <w:t xml:space="preserve">Friedman, Greg; </w:t>
      </w:r>
      <w:r w:rsidR="000E3AF7" w:rsidRPr="00281408">
        <w:rPr>
          <w:sz w:val="22"/>
          <w:szCs w:val="22"/>
        </w:rPr>
        <w:t xml:space="preserve">Fripp, Jessica; </w:t>
      </w:r>
      <w:r w:rsidR="00016F1A" w:rsidRPr="00281408">
        <w:rPr>
          <w:sz w:val="22"/>
          <w:szCs w:val="22"/>
        </w:rPr>
        <w:t>G</w:t>
      </w:r>
      <w:r w:rsidR="00211503">
        <w:rPr>
          <w:sz w:val="22"/>
          <w:szCs w:val="22"/>
        </w:rPr>
        <w:t xml:space="preserve">il, Dan; Gonzales, Eric; Hammad, Hanan; </w:t>
      </w:r>
      <w:r w:rsidR="00211503">
        <w:rPr>
          <w:rFonts w:cs="Times New Roman"/>
          <w:sz w:val="22"/>
          <w:szCs w:val="22"/>
        </w:rPr>
        <w:t xml:space="preserve">Harvey, Omar; </w:t>
      </w:r>
      <w:r w:rsidR="00016F1A" w:rsidRPr="00281408">
        <w:rPr>
          <w:sz w:val="22"/>
          <w:szCs w:val="22"/>
        </w:rPr>
        <w:t xml:space="preserve">Havens, Jill; </w:t>
      </w:r>
      <w:r w:rsidR="00211503" w:rsidRPr="00281408">
        <w:rPr>
          <w:sz w:val="22"/>
          <w:szCs w:val="22"/>
        </w:rPr>
        <w:t>Hawley, Diane</w:t>
      </w:r>
      <w:r w:rsidR="000E3AF7" w:rsidRPr="00281408">
        <w:rPr>
          <w:sz w:val="22"/>
          <w:szCs w:val="22"/>
        </w:rPr>
        <w:t xml:space="preserve">; </w:t>
      </w:r>
      <w:r w:rsidR="008D26E2" w:rsidRPr="00281408">
        <w:rPr>
          <w:sz w:val="22"/>
          <w:szCs w:val="22"/>
        </w:rPr>
        <w:t xml:space="preserve">Herzig, Emily; </w:t>
      </w:r>
      <w:r w:rsidR="003651DA" w:rsidRPr="00281408">
        <w:rPr>
          <w:sz w:val="22"/>
          <w:szCs w:val="22"/>
        </w:rPr>
        <w:t>Ho</w:t>
      </w:r>
      <w:r w:rsidR="00211503">
        <w:rPr>
          <w:sz w:val="22"/>
          <w:szCs w:val="22"/>
        </w:rPr>
        <w:t xml:space="preserve">sainy, Hadi; </w:t>
      </w:r>
      <w:r w:rsidR="00211503" w:rsidRPr="00281408">
        <w:rPr>
          <w:sz w:val="22"/>
          <w:szCs w:val="22"/>
        </w:rPr>
        <w:t>Jackson,</w:t>
      </w:r>
      <w:r w:rsidR="00211503">
        <w:rPr>
          <w:sz w:val="22"/>
          <w:szCs w:val="22"/>
        </w:rPr>
        <w:t xml:space="preserve"> D.</w:t>
      </w:r>
      <w:r w:rsidR="00211503" w:rsidRPr="00281408">
        <w:rPr>
          <w:sz w:val="22"/>
          <w:szCs w:val="22"/>
        </w:rPr>
        <w:t xml:space="preserve"> Lynn; </w:t>
      </w:r>
      <w:r w:rsidR="003651DA" w:rsidRPr="00281408">
        <w:rPr>
          <w:sz w:val="22"/>
          <w:szCs w:val="22"/>
        </w:rPr>
        <w:t xml:space="preserve">Jones, Clark; </w:t>
      </w:r>
      <w:r w:rsidR="00855E2C">
        <w:rPr>
          <w:sz w:val="22"/>
          <w:szCs w:val="22"/>
        </w:rPr>
        <w:t xml:space="preserve">Kiani; </w:t>
      </w:r>
      <w:bookmarkStart w:id="0" w:name="_GoBack"/>
      <w:bookmarkEnd w:id="0"/>
      <w:r w:rsidR="000E3AF7" w:rsidRPr="00281408">
        <w:rPr>
          <w:sz w:val="22"/>
          <w:szCs w:val="22"/>
        </w:rPr>
        <w:t xml:space="preserve">Morgan; </w:t>
      </w:r>
      <w:r w:rsidR="004B3392">
        <w:rPr>
          <w:sz w:val="22"/>
          <w:szCs w:val="22"/>
        </w:rPr>
        <w:t xml:space="preserve">Kim, San-ky; </w:t>
      </w:r>
      <w:r w:rsidR="00211503">
        <w:rPr>
          <w:sz w:val="22"/>
          <w:szCs w:val="22"/>
        </w:rPr>
        <w:t xml:space="preserve">Lauve-Moon, Katie; </w:t>
      </w:r>
      <w:r w:rsidR="00B86C32" w:rsidRPr="00281408">
        <w:rPr>
          <w:sz w:val="22"/>
          <w:szCs w:val="22"/>
        </w:rPr>
        <w:t>Ledbetter, Andrew; Ledis, Dennis;</w:t>
      </w:r>
      <w:r w:rsidR="008D26E2" w:rsidRPr="00281408">
        <w:rPr>
          <w:sz w:val="22"/>
          <w:szCs w:val="22"/>
        </w:rPr>
        <w:t xml:space="preserve"> </w:t>
      </w:r>
      <w:r w:rsidR="00016F1A" w:rsidRPr="00281408">
        <w:rPr>
          <w:sz w:val="22"/>
          <w:szCs w:val="22"/>
        </w:rPr>
        <w:t>Legatski, Ted;</w:t>
      </w:r>
      <w:r w:rsidR="00747337" w:rsidRPr="00281408">
        <w:rPr>
          <w:sz w:val="22"/>
          <w:szCs w:val="22"/>
        </w:rPr>
        <w:t xml:space="preserve"> </w:t>
      </w:r>
      <w:r w:rsidR="000E3AF7" w:rsidRPr="00281408">
        <w:rPr>
          <w:sz w:val="22"/>
          <w:szCs w:val="22"/>
        </w:rPr>
        <w:t>Lemon, Alex;</w:t>
      </w:r>
      <w:r w:rsidR="000E3AF7">
        <w:rPr>
          <w:sz w:val="22"/>
          <w:szCs w:val="22"/>
        </w:rPr>
        <w:t xml:space="preserve"> </w:t>
      </w:r>
      <w:r w:rsidR="000E3AF7" w:rsidRPr="00281408">
        <w:rPr>
          <w:sz w:val="22"/>
          <w:szCs w:val="22"/>
        </w:rPr>
        <w:t xml:space="preserve">Lovett, John; </w:t>
      </w:r>
      <w:r w:rsidR="009F096E" w:rsidRPr="00281408">
        <w:rPr>
          <w:sz w:val="22"/>
          <w:szCs w:val="22"/>
        </w:rPr>
        <w:t>Lynch, Laurel;</w:t>
      </w:r>
      <w:r w:rsidR="00AF0CBE" w:rsidRPr="00281408">
        <w:rPr>
          <w:sz w:val="22"/>
          <w:szCs w:val="22"/>
        </w:rPr>
        <w:t xml:space="preserve"> </w:t>
      </w:r>
      <w:r w:rsidR="00EC7A1C" w:rsidRPr="00281408">
        <w:rPr>
          <w:sz w:val="22"/>
          <w:szCs w:val="22"/>
        </w:rPr>
        <w:t xml:space="preserve">Marichal, Albert; </w:t>
      </w:r>
      <w:r w:rsidR="00211503" w:rsidRPr="00281408">
        <w:rPr>
          <w:sz w:val="22"/>
          <w:szCs w:val="22"/>
        </w:rPr>
        <w:t>McGettigan, Joan; Meitl, Michele;</w:t>
      </w:r>
      <w:r w:rsidR="00211503">
        <w:rPr>
          <w:sz w:val="22"/>
          <w:szCs w:val="22"/>
        </w:rPr>
        <w:t xml:space="preserve"> </w:t>
      </w:r>
      <w:r w:rsidR="00AF0CBE" w:rsidRPr="00281408">
        <w:rPr>
          <w:sz w:val="22"/>
          <w:szCs w:val="22"/>
        </w:rPr>
        <w:t>Meyn, Till;</w:t>
      </w:r>
      <w:r w:rsidR="00787BD2" w:rsidRPr="00281408">
        <w:rPr>
          <w:sz w:val="22"/>
          <w:szCs w:val="22"/>
        </w:rPr>
        <w:t xml:space="preserve"> </w:t>
      </w:r>
      <w:r w:rsidR="003651DA" w:rsidRPr="00281408">
        <w:rPr>
          <w:sz w:val="22"/>
          <w:szCs w:val="22"/>
        </w:rPr>
        <w:t xml:space="preserve">Moeller, Thomas; </w:t>
      </w:r>
      <w:r w:rsidR="000E3AF7" w:rsidRPr="00281408">
        <w:rPr>
          <w:sz w:val="22"/>
          <w:szCs w:val="22"/>
        </w:rPr>
        <w:t xml:space="preserve">Moore, Jeff; </w:t>
      </w:r>
      <w:r w:rsidR="00211503" w:rsidRPr="00281408">
        <w:rPr>
          <w:sz w:val="22"/>
          <w:szCs w:val="22"/>
        </w:rPr>
        <w:t xml:space="preserve">Nelson, Karen; </w:t>
      </w:r>
      <w:r w:rsidR="00211503">
        <w:rPr>
          <w:sz w:val="22"/>
          <w:szCs w:val="22"/>
        </w:rPr>
        <w:t xml:space="preserve">Nhan, Johnny; Nugent, Hylda; Palko, Steve; </w:t>
      </w:r>
      <w:r w:rsidR="008D26E2" w:rsidRPr="00281408">
        <w:rPr>
          <w:sz w:val="22"/>
          <w:szCs w:val="22"/>
        </w:rPr>
        <w:t>Quesada, Jan;</w:t>
      </w:r>
      <w:r w:rsidR="00F25FB4" w:rsidRPr="00281408">
        <w:rPr>
          <w:sz w:val="22"/>
          <w:szCs w:val="22"/>
        </w:rPr>
        <w:t xml:space="preserve"> </w:t>
      </w:r>
      <w:r w:rsidR="00AF0CBE" w:rsidRPr="00281408">
        <w:rPr>
          <w:sz w:val="22"/>
          <w:szCs w:val="22"/>
        </w:rPr>
        <w:t xml:space="preserve">Quinn, Brandy; </w:t>
      </w:r>
      <w:r w:rsidR="00EB1952" w:rsidRPr="00281408">
        <w:rPr>
          <w:sz w:val="22"/>
          <w:szCs w:val="22"/>
        </w:rPr>
        <w:t>Ramasesh, Ranga;</w:t>
      </w:r>
      <w:r w:rsidR="0011693B" w:rsidRPr="00281408">
        <w:rPr>
          <w:sz w:val="22"/>
          <w:szCs w:val="22"/>
        </w:rPr>
        <w:t xml:space="preserve"> </w:t>
      </w:r>
      <w:r w:rsidR="000E3AF7" w:rsidRPr="00281408">
        <w:rPr>
          <w:sz w:val="22"/>
          <w:szCs w:val="22"/>
        </w:rPr>
        <w:t xml:space="preserve">Sawey, Michael; </w:t>
      </w:r>
      <w:r w:rsidR="00211503">
        <w:rPr>
          <w:sz w:val="22"/>
          <w:szCs w:val="22"/>
        </w:rPr>
        <w:t xml:space="preserve">Sawyer, Chris; </w:t>
      </w:r>
      <w:r w:rsidR="004B3392" w:rsidRPr="00281408">
        <w:rPr>
          <w:sz w:val="22"/>
          <w:szCs w:val="22"/>
        </w:rPr>
        <w:t xml:space="preserve">Schein, Marie; </w:t>
      </w:r>
      <w:r w:rsidR="008D26E2" w:rsidRPr="00281408">
        <w:rPr>
          <w:sz w:val="22"/>
          <w:szCs w:val="22"/>
        </w:rPr>
        <w:t xml:space="preserve">Scherger, Michael; </w:t>
      </w:r>
      <w:r w:rsidR="004B3392">
        <w:rPr>
          <w:sz w:val="22"/>
          <w:szCs w:val="22"/>
        </w:rPr>
        <w:t xml:space="preserve">Schiffer, Adam; </w:t>
      </w:r>
      <w:r w:rsidR="000A6520" w:rsidRPr="00281408">
        <w:rPr>
          <w:sz w:val="22"/>
          <w:szCs w:val="22"/>
        </w:rPr>
        <w:t xml:space="preserve">Scott, Krista; </w:t>
      </w:r>
      <w:r w:rsidR="004B3392">
        <w:rPr>
          <w:sz w:val="22"/>
          <w:szCs w:val="22"/>
        </w:rPr>
        <w:t>Singletary, La</w:t>
      </w:r>
      <w:r w:rsidR="00855E2C">
        <w:rPr>
          <w:sz w:val="22"/>
          <w:szCs w:val="22"/>
        </w:rPr>
        <w:t>ura</w:t>
      </w:r>
      <w:r w:rsidR="004B3392">
        <w:rPr>
          <w:sz w:val="22"/>
          <w:szCs w:val="22"/>
        </w:rPr>
        <w:t xml:space="preserve">; </w:t>
      </w:r>
      <w:r w:rsidR="00AF0CBE" w:rsidRPr="00281408">
        <w:rPr>
          <w:sz w:val="22"/>
          <w:szCs w:val="22"/>
        </w:rPr>
        <w:t xml:space="preserve">Stephens, Greg; </w:t>
      </w:r>
      <w:r w:rsidR="004B3392">
        <w:rPr>
          <w:sz w:val="22"/>
          <w:szCs w:val="22"/>
        </w:rPr>
        <w:t xml:space="preserve">Stewart, Amy; Tyler, Tee; </w:t>
      </w:r>
      <w:r w:rsidR="004B3392">
        <w:rPr>
          <w:sz w:val="22"/>
          <w:szCs w:val="22"/>
        </w:rPr>
        <w:t>Walters, Patricia</w:t>
      </w:r>
      <w:r w:rsidR="004B3392">
        <w:rPr>
          <w:sz w:val="22"/>
          <w:szCs w:val="22"/>
        </w:rPr>
        <w:t xml:space="preserve">; </w:t>
      </w:r>
      <w:r w:rsidR="00EC7A1C" w:rsidRPr="00281408">
        <w:rPr>
          <w:sz w:val="22"/>
          <w:szCs w:val="22"/>
        </w:rPr>
        <w:t xml:space="preserve">Watkins, Timothy; </w:t>
      </w:r>
      <w:r w:rsidR="00B46530" w:rsidRPr="00281408">
        <w:rPr>
          <w:sz w:val="22"/>
          <w:szCs w:val="22"/>
        </w:rPr>
        <w:t>Williams, Daniel;</w:t>
      </w:r>
      <w:r w:rsidR="00BD62FD" w:rsidRPr="00BD62FD">
        <w:rPr>
          <w:sz w:val="22"/>
          <w:szCs w:val="22"/>
        </w:rPr>
        <w:t xml:space="preserve"> </w:t>
      </w:r>
      <w:r w:rsidR="00BD62FD" w:rsidRPr="00281408">
        <w:rPr>
          <w:sz w:val="22"/>
          <w:szCs w:val="22"/>
        </w:rPr>
        <w:t>Wood, Barbara</w:t>
      </w:r>
      <w:r w:rsidR="004B3392">
        <w:rPr>
          <w:sz w:val="22"/>
          <w:szCs w:val="22"/>
        </w:rPr>
        <w:t>; Yang, Qinghua</w:t>
      </w:r>
    </w:p>
    <w:p w14:paraId="261F76D5" w14:textId="70336369" w:rsidR="008D26E2" w:rsidRPr="00281408" w:rsidRDefault="008D26E2" w:rsidP="00D22188">
      <w:pPr>
        <w:outlineLvl w:val="0"/>
        <w:rPr>
          <w:sz w:val="22"/>
          <w:szCs w:val="22"/>
        </w:rPr>
      </w:pPr>
    </w:p>
    <w:p w14:paraId="73905701" w14:textId="4193639D" w:rsidR="001773FC" w:rsidRPr="00281408" w:rsidRDefault="00DD6C18" w:rsidP="00AF0CBE">
      <w:pPr>
        <w:outlineLvl w:val="0"/>
        <w:rPr>
          <w:sz w:val="22"/>
          <w:szCs w:val="22"/>
        </w:rPr>
      </w:pPr>
      <w:r w:rsidRPr="00281408">
        <w:rPr>
          <w:b/>
          <w:bCs/>
          <w:sz w:val="22"/>
          <w:szCs w:val="22"/>
        </w:rPr>
        <w:t>S</w:t>
      </w:r>
      <w:r w:rsidR="004F78C8" w:rsidRPr="00281408">
        <w:rPr>
          <w:b/>
          <w:bCs/>
          <w:sz w:val="22"/>
          <w:szCs w:val="22"/>
        </w:rPr>
        <w:t>enators Excused</w:t>
      </w:r>
      <w:r w:rsidR="00196279" w:rsidRPr="00281408">
        <w:rPr>
          <w:b/>
          <w:bCs/>
          <w:sz w:val="22"/>
          <w:szCs w:val="22"/>
        </w:rPr>
        <w:t>:</w:t>
      </w:r>
      <w:r w:rsidR="00747337" w:rsidRPr="00281408">
        <w:rPr>
          <w:sz w:val="22"/>
          <w:szCs w:val="22"/>
        </w:rPr>
        <w:t xml:space="preserve"> </w:t>
      </w:r>
      <w:r w:rsidR="00211503" w:rsidRPr="00281408">
        <w:rPr>
          <w:sz w:val="22"/>
          <w:szCs w:val="22"/>
        </w:rPr>
        <w:t>Atkinson, Sean;</w:t>
      </w:r>
      <w:r w:rsidR="009F096E" w:rsidRPr="00281408">
        <w:rPr>
          <w:sz w:val="22"/>
          <w:szCs w:val="22"/>
        </w:rPr>
        <w:t xml:space="preserve"> </w:t>
      </w:r>
      <w:r w:rsidR="00211503" w:rsidRPr="00281408">
        <w:rPr>
          <w:sz w:val="22"/>
          <w:szCs w:val="22"/>
        </w:rPr>
        <w:t xml:space="preserve">Bashore, Lisa; Bedford, David; </w:t>
      </w:r>
      <w:r w:rsidR="00211503">
        <w:rPr>
          <w:sz w:val="22"/>
          <w:szCs w:val="22"/>
        </w:rPr>
        <w:t xml:space="preserve">Carter, Suzanna; </w:t>
      </w:r>
      <w:r w:rsidR="00855E2C">
        <w:rPr>
          <w:sz w:val="22"/>
          <w:szCs w:val="22"/>
        </w:rPr>
        <w:t>Jeffries, Marlo;</w:t>
      </w:r>
      <w:r w:rsidR="00855E2C">
        <w:rPr>
          <w:sz w:val="22"/>
          <w:szCs w:val="22"/>
        </w:rPr>
        <w:t xml:space="preserve"> </w:t>
      </w:r>
      <w:r w:rsidR="00E214C4">
        <w:rPr>
          <w:sz w:val="22"/>
          <w:szCs w:val="22"/>
        </w:rPr>
        <w:t xml:space="preserve">Langston, Scott; </w:t>
      </w:r>
      <w:r w:rsidR="004B3392">
        <w:rPr>
          <w:sz w:val="22"/>
          <w:szCs w:val="22"/>
        </w:rPr>
        <w:t>Murray, Joddy</w:t>
      </w:r>
    </w:p>
    <w:p w14:paraId="251E2947" w14:textId="77777777" w:rsidR="00F25FB4" w:rsidRPr="00281408" w:rsidRDefault="00F25FB4">
      <w:pPr>
        <w:outlineLvl w:val="0"/>
        <w:rPr>
          <w:sz w:val="22"/>
          <w:szCs w:val="22"/>
        </w:rPr>
      </w:pPr>
    </w:p>
    <w:p w14:paraId="4F68D27B" w14:textId="6DCDB9D0" w:rsidR="00A1788C" w:rsidRPr="00281408" w:rsidRDefault="00A1788C" w:rsidP="000E3AF7">
      <w:pPr>
        <w:outlineLvl w:val="0"/>
        <w:rPr>
          <w:sz w:val="22"/>
          <w:szCs w:val="22"/>
        </w:rPr>
      </w:pPr>
      <w:r w:rsidRPr="00281408">
        <w:rPr>
          <w:b/>
          <w:bCs/>
          <w:sz w:val="22"/>
          <w:szCs w:val="22"/>
        </w:rPr>
        <w:t>S</w:t>
      </w:r>
      <w:r w:rsidR="004F78C8" w:rsidRPr="00281408">
        <w:rPr>
          <w:b/>
          <w:bCs/>
          <w:sz w:val="22"/>
          <w:szCs w:val="22"/>
        </w:rPr>
        <w:t>enators Absent</w:t>
      </w:r>
      <w:r w:rsidR="00196279" w:rsidRPr="00281408">
        <w:rPr>
          <w:b/>
          <w:bCs/>
          <w:sz w:val="22"/>
          <w:szCs w:val="22"/>
        </w:rPr>
        <w:t>:</w:t>
      </w:r>
      <w:r w:rsidR="00EC7A1C" w:rsidRPr="00281408">
        <w:rPr>
          <w:b/>
          <w:bCs/>
          <w:sz w:val="22"/>
          <w:szCs w:val="22"/>
        </w:rPr>
        <w:t xml:space="preserve"> </w:t>
      </w:r>
      <w:r w:rsidR="00211503" w:rsidRPr="00281408">
        <w:rPr>
          <w:sz w:val="22"/>
          <w:szCs w:val="22"/>
        </w:rPr>
        <w:t>Johnson, Kevin</w:t>
      </w:r>
      <w:r w:rsidR="00211503">
        <w:rPr>
          <w:sz w:val="22"/>
          <w:szCs w:val="22"/>
        </w:rPr>
        <w:t xml:space="preserve"> (CSE)</w:t>
      </w:r>
      <w:r w:rsidR="00211503" w:rsidRPr="00281408">
        <w:rPr>
          <w:sz w:val="22"/>
          <w:szCs w:val="22"/>
        </w:rPr>
        <w:t>;</w:t>
      </w:r>
      <w:r w:rsidR="004B3392">
        <w:rPr>
          <w:sz w:val="22"/>
          <w:szCs w:val="22"/>
        </w:rPr>
        <w:t xml:space="preserve"> </w:t>
      </w:r>
      <w:r w:rsidR="004B3392" w:rsidRPr="00281408">
        <w:rPr>
          <w:sz w:val="22"/>
          <w:szCs w:val="22"/>
        </w:rPr>
        <w:t>S</w:t>
      </w:r>
      <w:r w:rsidR="004B3392">
        <w:rPr>
          <w:sz w:val="22"/>
          <w:szCs w:val="22"/>
        </w:rPr>
        <w:t>imanek, Eric</w:t>
      </w:r>
      <w:r w:rsidR="004B3392">
        <w:rPr>
          <w:sz w:val="22"/>
          <w:szCs w:val="22"/>
        </w:rPr>
        <w:t xml:space="preserve"> (CSE) </w:t>
      </w:r>
    </w:p>
    <w:p w14:paraId="63A58559" w14:textId="77777777" w:rsidR="00AF0CBE" w:rsidRPr="00281408" w:rsidRDefault="00AF0CBE">
      <w:pPr>
        <w:outlineLvl w:val="0"/>
        <w:rPr>
          <w:sz w:val="22"/>
          <w:szCs w:val="22"/>
        </w:rPr>
      </w:pPr>
    </w:p>
    <w:p w14:paraId="1FC665A5" w14:textId="279BB639" w:rsidR="00A60C68" w:rsidRPr="00281408" w:rsidRDefault="004F78C8">
      <w:pPr>
        <w:pStyle w:val="Body1"/>
        <w:spacing w:after="200"/>
        <w:rPr>
          <w:sz w:val="22"/>
          <w:szCs w:val="22"/>
        </w:rPr>
      </w:pPr>
      <w:r w:rsidRPr="00281408">
        <w:rPr>
          <w:b/>
          <w:bCs/>
          <w:sz w:val="22"/>
          <w:szCs w:val="22"/>
        </w:rPr>
        <w:t>Guests Present</w:t>
      </w:r>
      <w:r w:rsidR="00196279" w:rsidRPr="00281408">
        <w:rPr>
          <w:b/>
          <w:bCs/>
          <w:sz w:val="22"/>
          <w:szCs w:val="22"/>
        </w:rPr>
        <w:t>:</w:t>
      </w:r>
      <w:r w:rsidR="00196279" w:rsidRPr="00281408">
        <w:rPr>
          <w:bCs/>
          <w:sz w:val="22"/>
          <w:szCs w:val="22"/>
        </w:rPr>
        <w:t xml:space="preserve"> </w:t>
      </w:r>
      <w:r w:rsidR="004B3392">
        <w:rPr>
          <w:bCs/>
          <w:sz w:val="22"/>
          <w:szCs w:val="22"/>
        </w:rPr>
        <w:t>Victor Boschini (Chancellor); Teresa Abi-Nader Dahlberg</w:t>
      </w:r>
      <w:r w:rsidR="00A60C68" w:rsidRPr="00281408">
        <w:rPr>
          <w:bCs/>
          <w:sz w:val="22"/>
          <w:szCs w:val="22"/>
        </w:rPr>
        <w:t xml:space="preserve"> (Provost); </w:t>
      </w:r>
      <w:r w:rsidR="00B46530" w:rsidRPr="00281408">
        <w:rPr>
          <w:sz w:val="22"/>
          <w:szCs w:val="22"/>
        </w:rPr>
        <w:t xml:space="preserve">Susan Weeks (Vice Provost); </w:t>
      </w:r>
      <w:r w:rsidR="0071206F">
        <w:rPr>
          <w:sz w:val="22"/>
          <w:szCs w:val="22"/>
        </w:rPr>
        <w:t xml:space="preserve">Yohna Chambers (VC-HR); Dean Floyd Wormley (Research &amp; Graduate Studies); Dean Chris Watts (Harris); Dean Daniel Pullin (Neeley); Chris Hightower (Staff Assembly Chair); </w:t>
      </w:r>
      <w:r w:rsidR="00E214C4">
        <w:rPr>
          <w:sz w:val="22"/>
          <w:szCs w:val="22"/>
        </w:rPr>
        <w:t xml:space="preserve">Jan Lacina (Acting Dean, Education); Claire Sanders (DEI, Faculty Fellow); Tim Ballingall (GSS President); </w:t>
      </w:r>
      <w:r w:rsidR="0011693B" w:rsidRPr="00281408">
        <w:rPr>
          <w:sz w:val="22"/>
          <w:szCs w:val="22"/>
        </w:rPr>
        <w:t>Eric Gobel</w:t>
      </w:r>
      <w:r w:rsidR="004B3392">
        <w:rPr>
          <w:sz w:val="22"/>
          <w:szCs w:val="22"/>
        </w:rPr>
        <w:t xml:space="preserve"> (grad student)</w:t>
      </w:r>
      <w:r w:rsidR="00BD62FD">
        <w:rPr>
          <w:sz w:val="22"/>
          <w:szCs w:val="22"/>
        </w:rPr>
        <w:t xml:space="preserve">; </w:t>
      </w:r>
      <w:r w:rsidR="0071206F">
        <w:rPr>
          <w:sz w:val="22"/>
          <w:szCs w:val="22"/>
        </w:rPr>
        <w:t>Joshua Witkop</w:t>
      </w:r>
      <w:r w:rsidR="00BD62FD">
        <w:rPr>
          <w:sz w:val="22"/>
          <w:szCs w:val="22"/>
        </w:rPr>
        <w:t xml:space="preserve"> (SGA</w:t>
      </w:r>
      <w:r w:rsidR="0071206F">
        <w:rPr>
          <w:sz w:val="22"/>
          <w:szCs w:val="22"/>
        </w:rPr>
        <w:t xml:space="preserve"> President</w:t>
      </w:r>
      <w:r w:rsidR="00BD62FD">
        <w:rPr>
          <w:sz w:val="22"/>
          <w:szCs w:val="22"/>
        </w:rPr>
        <w:t xml:space="preserve">); </w:t>
      </w:r>
      <w:r w:rsidR="00E214C4">
        <w:rPr>
          <w:sz w:val="22"/>
          <w:szCs w:val="22"/>
        </w:rPr>
        <w:t>Robbie Vaglio</w:t>
      </w:r>
      <w:r w:rsidR="00BD62FD">
        <w:rPr>
          <w:sz w:val="22"/>
          <w:szCs w:val="22"/>
        </w:rPr>
        <w:t xml:space="preserve"> (TCU 360); </w:t>
      </w:r>
      <w:r w:rsidR="0071206F">
        <w:rPr>
          <w:sz w:val="22"/>
          <w:szCs w:val="22"/>
        </w:rPr>
        <w:t xml:space="preserve"> </w:t>
      </w:r>
      <w:r w:rsidR="00E214C4">
        <w:rPr>
          <w:sz w:val="22"/>
          <w:szCs w:val="22"/>
        </w:rPr>
        <w:t>Mary Ruth Jones</w:t>
      </w:r>
    </w:p>
    <w:p w14:paraId="6EC7368E" w14:textId="5AB13553" w:rsidR="001773FC" w:rsidRPr="00281408" w:rsidRDefault="004F78C8">
      <w:pPr>
        <w:pStyle w:val="Body1"/>
        <w:spacing w:after="200"/>
        <w:rPr>
          <w:b/>
          <w:bCs/>
          <w:sz w:val="22"/>
          <w:szCs w:val="22"/>
        </w:rPr>
      </w:pPr>
      <w:r w:rsidRPr="00281408">
        <w:rPr>
          <w:b/>
          <w:bCs/>
          <w:sz w:val="22"/>
          <w:szCs w:val="22"/>
        </w:rPr>
        <w:t>Call to Order</w:t>
      </w:r>
    </w:p>
    <w:p w14:paraId="6B84D5D4" w14:textId="24B6FAF1" w:rsidR="001773FC" w:rsidRPr="00281408" w:rsidRDefault="004F78C8">
      <w:pPr>
        <w:pStyle w:val="Body1"/>
        <w:numPr>
          <w:ilvl w:val="0"/>
          <w:numId w:val="2"/>
        </w:numPr>
        <w:spacing w:after="200"/>
        <w:rPr>
          <w:sz w:val="22"/>
          <w:szCs w:val="22"/>
        </w:rPr>
      </w:pPr>
      <w:r w:rsidRPr="00281408">
        <w:rPr>
          <w:sz w:val="22"/>
          <w:szCs w:val="22"/>
        </w:rPr>
        <w:t xml:space="preserve">Faculty Senate </w:t>
      </w:r>
      <w:r w:rsidRPr="00281408">
        <w:rPr>
          <w:b/>
          <w:sz w:val="22"/>
          <w:szCs w:val="22"/>
        </w:rPr>
        <w:t>Chair</w:t>
      </w:r>
      <w:r w:rsidR="00644249" w:rsidRPr="00281408">
        <w:rPr>
          <w:b/>
          <w:sz w:val="22"/>
          <w:szCs w:val="22"/>
        </w:rPr>
        <w:t xml:space="preserve"> </w:t>
      </w:r>
      <w:r w:rsidR="005D5AE9">
        <w:rPr>
          <w:b/>
          <w:sz w:val="22"/>
          <w:szCs w:val="22"/>
        </w:rPr>
        <w:t>Clark Jones</w:t>
      </w:r>
      <w:r w:rsidRPr="00281408">
        <w:rPr>
          <w:sz w:val="22"/>
          <w:szCs w:val="22"/>
        </w:rPr>
        <w:t xml:space="preserve"> called the meeting to order</w:t>
      </w:r>
      <w:r w:rsidR="00F812C6" w:rsidRPr="00281408">
        <w:rPr>
          <w:sz w:val="22"/>
          <w:szCs w:val="22"/>
        </w:rPr>
        <w:t xml:space="preserve"> at 3:</w:t>
      </w:r>
      <w:r w:rsidR="0080164E">
        <w:rPr>
          <w:sz w:val="22"/>
          <w:szCs w:val="22"/>
        </w:rPr>
        <w:t>32 with opening remarks in which he</w:t>
      </w:r>
      <w:r w:rsidR="00A6496E" w:rsidRPr="00281408">
        <w:rPr>
          <w:sz w:val="22"/>
          <w:szCs w:val="22"/>
        </w:rPr>
        <w:t xml:space="preserve"> welcomed </w:t>
      </w:r>
      <w:r w:rsidR="005F2EBB">
        <w:rPr>
          <w:sz w:val="22"/>
          <w:szCs w:val="22"/>
        </w:rPr>
        <w:t xml:space="preserve">new </w:t>
      </w:r>
      <w:r w:rsidR="00A6496E" w:rsidRPr="00281408">
        <w:rPr>
          <w:sz w:val="22"/>
          <w:szCs w:val="22"/>
        </w:rPr>
        <w:t>Senators</w:t>
      </w:r>
      <w:r w:rsidR="005F2EBB" w:rsidRPr="005F2EBB">
        <w:rPr>
          <w:sz w:val="22"/>
          <w:szCs w:val="22"/>
        </w:rPr>
        <w:t xml:space="preserve"> </w:t>
      </w:r>
      <w:r w:rsidR="005F2EBB" w:rsidRPr="00281408">
        <w:rPr>
          <w:sz w:val="22"/>
          <w:szCs w:val="22"/>
        </w:rPr>
        <w:t>and guests</w:t>
      </w:r>
      <w:r w:rsidR="0080164E">
        <w:rPr>
          <w:sz w:val="22"/>
          <w:szCs w:val="22"/>
        </w:rPr>
        <w:t>, touted the new TCU Capital Campaign, and reviewed the Senate’s accomplishments of the past academic year.</w:t>
      </w:r>
    </w:p>
    <w:p w14:paraId="02D53BBE" w14:textId="20ADD3A5" w:rsidR="00C401CC" w:rsidRDefault="004F78C8" w:rsidP="009B0F97">
      <w:pPr>
        <w:pStyle w:val="Body1"/>
        <w:numPr>
          <w:ilvl w:val="0"/>
          <w:numId w:val="2"/>
        </w:numPr>
        <w:spacing w:after="200"/>
        <w:rPr>
          <w:sz w:val="22"/>
          <w:szCs w:val="22"/>
        </w:rPr>
      </w:pPr>
      <w:r w:rsidRPr="00281408">
        <w:rPr>
          <w:sz w:val="22"/>
          <w:szCs w:val="22"/>
        </w:rPr>
        <w:t xml:space="preserve">The minutes of the </w:t>
      </w:r>
      <w:r w:rsidR="0080164E">
        <w:rPr>
          <w:sz w:val="22"/>
          <w:szCs w:val="22"/>
        </w:rPr>
        <w:t>May 2</w:t>
      </w:r>
      <w:r w:rsidR="0011693B" w:rsidRPr="00281408">
        <w:rPr>
          <w:sz w:val="22"/>
          <w:szCs w:val="22"/>
        </w:rPr>
        <w:t>, 2019</w:t>
      </w:r>
      <w:r w:rsidR="00C401CC" w:rsidRPr="00281408">
        <w:rPr>
          <w:sz w:val="22"/>
          <w:szCs w:val="22"/>
        </w:rPr>
        <w:t>,</w:t>
      </w:r>
      <w:r w:rsidRPr="00281408">
        <w:rPr>
          <w:sz w:val="22"/>
          <w:szCs w:val="22"/>
        </w:rPr>
        <w:t xml:space="preserve"> meeting of </w:t>
      </w:r>
      <w:r w:rsidR="0080164E">
        <w:rPr>
          <w:sz w:val="22"/>
          <w:szCs w:val="22"/>
        </w:rPr>
        <w:t>the Faculty Senate were approved, with one correction of a senator’s absence as excused</w:t>
      </w:r>
      <w:r w:rsidR="00331BA8" w:rsidRPr="00281408">
        <w:rPr>
          <w:sz w:val="22"/>
          <w:szCs w:val="22"/>
        </w:rPr>
        <w:t>.</w:t>
      </w:r>
    </w:p>
    <w:p w14:paraId="4CC86E95" w14:textId="72F8A47C" w:rsidR="0080164E" w:rsidRPr="0080164E" w:rsidRDefault="004F78C8" w:rsidP="0080164E">
      <w:pPr>
        <w:pStyle w:val="Body1"/>
        <w:spacing w:after="200"/>
        <w:rPr>
          <w:b/>
          <w:bCs/>
          <w:sz w:val="22"/>
          <w:szCs w:val="22"/>
        </w:rPr>
      </w:pPr>
      <w:r w:rsidRPr="00281408">
        <w:rPr>
          <w:b/>
          <w:bCs/>
          <w:sz w:val="22"/>
          <w:szCs w:val="22"/>
        </w:rPr>
        <w:t>New Business</w:t>
      </w:r>
    </w:p>
    <w:p w14:paraId="112E44A8" w14:textId="561C6EA8" w:rsidR="00157137" w:rsidRPr="005F2EBB" w:rsidRDefault="005F2EBB" w:rsidP="005F2EBB">
      <w:pPr>
        <w:pStyle w:val="ListParagraph"/>
        <w:numPr>
          <w:ilvl w:val="0"/>
          <w:numId w:val="2"/>
        </w:numPr>
        <w:rPr>
          <w:rStyle w:val="s1"/>
          <w:rFonts w:ascii="Times New Roman" w:hAnsi="Times New Roman"/>
          <w:sz w:val="24"/>
          <w:szCs w:val="24"/>
        </w:rPr>
      </w:pPr>
      <w:r w:rsidRPr="005F2EBB">
        <w:rPr>
          <w:b/>
        </w:rPr>
        <w:t>Assistant Secretary Greg Friedman</w:t>
      </w:r>
      <w:r>
        <w:t xml:space="preserve"> </w:t>
      </w:r>
      <w:r w:rsidR="0080164E">
        <w:t>introduc</w:t>
      </w:r>
      <w:r>
        <w:t xml:space="preserve">ed the </w:t>
      </w:r>
      <w:r w:rsidR="0080164E">
        <w:t>chairs of the Senate’s Standing Committees, who announced where they planned to meet with their committees this coming academic year.</w:t>
      </w:r>
    </w:p>
    <w:p w14:paraId="7F814D82" w14:textId="77777777" w:rsidR="00157137" w:rsidRPr="00281408" w:rsidRDefault="00157137" w:rsidP="00157137">
      <w:pPr>
        <w:pStyle w:val="p1"/>
        <w:ind w:left="360"/>
        <w:rPr>
          <w:rFonts w:asciiTheme="minorHAnsi" w:hAnsiTheme="minorHAnsi" w:cstheme="minorHAnsi"/>
          <w:color w:val="auto"/>
          <w:sz w:val="22"/>
          <w:szCs w:val="22"/>
        </w:rPr>
      </w:pPr>
    </w:p>
    <w:p w14:paraId="76301026" w14:textId="15F145C6" w:rsidR="003D07AF" w:rsidRPr="003D07AF" w:rsidRDefault="005F2EBB" w:rsidP="003D07AF">
      <w:pPr>
        <w:pStyle w:val="ListParagraph"/>
        <w:numPr>
          <w:ilvl w:val="0"/>
          <w:numId w:val="2"/>
        </w:numPr>
        <w:rPr>
          <w:sz w:val="22"/>
          <w:szCs w:val="22"/>
        </w:rPr>
      </w:pPr>
      <w:r w:rsidRPr="005F2EBB">
        <w:rPr>
          <w:b/>
        </w:rPr>
        <w:t xml:space="preserve">Provost </w:t>
      </w:r>
      <w:r w:rsidR="0080164E">
        <w:rPr>
          <w:b/>
        </w:rPr>
        <w:t>Teresa Abi-Nader Dahlberg</w:t>
      </w:r>
      <w:r>
        <w:t xml:space="preserve"> addressed the Senate</w:t>
      </w:r>
      <w:r w:rsidR="0080164E">
        <w:t xml:space="preserve">. She opened with appreciate remarks about her positive experiences at TCU over the summer and saluted TCU’s collegial atmosphere. She also introduced her administrative assistant, the new Provost’s Faculty Fellow for DEI, Claire Sanders, </w:t>
      </w:r>
      <w:r w:rsidR="00911E87">
        <w:t>the</w:t>
      </w:r>
      <w:r w:rsidR="0080164E">
        <w:t xml:space="preserve"> three new deans</w:t>
      </w:r>
      <w:r w:rsidR="00911E87">
        <w:t xml:space="preserve"> and one acting dean</w:t>
      </w:r>
      <w:r w:rsidR="0080164E">
        <w:t xml:space="preserve"> in attendance at the meeting</w:t>
      </w:r>
      <w:r>
        <w:t>.</w:t>
      </w:r>
      <w:r w:rsidR="00911E87">
        <w:t xml:space="preserve"> The Provost noted the three dean searches—for AddRan College of Liberal Arts, the College of Fine Arts, and the College of Education—that will take place this fall. She also gave an update on the six targeted priorities emerging for Academic Affairs base on the </w:t>
      </w:r>
      <w:r w:rsidR="00911E87">
        <w:lastRenderedPageBreak/>
        <w:t xml:space="preserve">recent VIA:Lead On strategic plan. These areas include Diversity, Equity &amp; Inclusion (DEI); a full-time faculty work-load model supportive of the TCU Teacher-Scholar; the TCU graduate student experience; infrastructure to support TCU scholarship and creative activities; an integrated student success model </w:t>
      </w:r>
      <w:r w:rsidR="00911E87" w:rsidRPr="00911E87">
        <w:rPr>
          <w:rFonts w:cs="Times New Roman"/>
          <w:color w:val="auto"/>
          <w:shd w:val="clear" w:color="auto" w:fill="F9F9F9"/>
        </w:rPr>
        <w:t>encompassing academic advising, student disability services, career services and tutoring</w:t>
      </w:r>
      <w:r w:rsidR="003D07AF">
        <w:rPr>
          <w:rFonts w:cs="Times New Roman"/>
          <w:color w:val="auto"/>
          <w:shd w:val="clear" w:color="auto" w:fill="F9F9F9"/>
        </w:rPr>
        <w:t xml:space="preserve">, to name a few. For more information, please visit: </w:t>
      </w:r>
      <w:hyperlink r:id="rId7" w:history="1">
        <w:r w:rsidR="004C62A2" w:rsidRPr="00FE2B33">
          <w:rPr>
            <w:rStyle w:val="Hyperlink"/>
            <w:rFonts w:ascii="Calibri" w:hAnsi="Calibri" w:cs="Calibri"/>
            <w:sz w:val="22"/>
            <w:szCs w:val="22"/>
          </w:rPr>
          <w:t>https://provost.tcu.edu/academic-affairs-priorities/</w:t>
        </w:r>
      </w:hyperlink>
      <w:r w:rsidR="004C62A2">
        <w:rPr>
          <w:sz w:val="22"/>
          <w:szCs w:val="22"/>
        </w:rPr>
        <w:t xml:space="preserve">. </w:t>
      </w:r>
    </w:p>
    <w:p w14:paraId="198327AB" w14:textId="77777777" w:rsidR="005F2EBB" w:rsidRPr="005F2EBB" w:rsidRDefault="005F2EBB" w:rsidP="005F2EBB">
      <w:pPr>
        <w:pStyle w:val="ListParagraph"/>
        <w:ind w:left="360"/>
        <w:rPr>
          <w:sz w:val="22"/>
          <w:szCs w:val="22"/>
        </w:rPr>
      </w:pPr>
    </w:p>
    <w:p w14:paraId="01DBB9EC" w14:textId="3E1F87CC" w:rsidR="008B0B31" w:rsidRPr="004C62A2" w:rsidRDefault="004C62A2" w:rsidP="004C62A2">
      <w:pPr>
        <w:pStyle w:val="ListParagraph"/>
        <w:numPr>
          <w:ilvl w:val="0"/>
          <w:numId w:val="2"/>
        </w:numPr>
        <w:rPr>
          <w:rStyle w:val="Hyperlink"/>
          <w:u w:val="none"/>
        </w:rPr>
      </w:pPr>
      <w:r w:rsidRPr="004C62A2">
        <w:rPr>
          <w:b/>
        </w:rPr>
        <w:t>Graduate Student Senate (GSS) President Tim Ballingall</w:t>
      </w:r>
      <w:r>
        <w:t xml:space="preserve">, a Ph.D. student in English, addressed the Senate. </w:t>
      </w:r>
      <w:r>
        <w:t xml:space="preserve">He </w:t>
      </w:r>
      <w:r>
        <w:t>identified the GSS’s three</w:t>
      </w:r>
      <w:r w:rsidRPr="004C62A2">
        <w:rPr>
          <w:b/>
        </w:rPr>
        <w:t xml:space="preserve"> (3) new initiatives</w:t>
      </w:r>
      <w:r>
        <w:t xml:space="preserve"> for the year—(1) </w:t>
      </w:r>
      <w:r w:rsidRPr="004C62A2">
        <w:rPr>
          <w:b/>
        </w:rPr>
        <w:t>transitioning to a true Senate mode</w:t>
      </w:r>
      <w:r>
        <w:t>l, to increase the representation across all the grad school programs to make students feel heard; (2)</w:t>
      </w:r>
      <w:r w:rsidRPr="004C62A2">
        <w:rPr>
          <w:b/>
        </w:rPr>
        <w:t xml:space="preserve"> increasing graduate student stipends and aid packages</w:t>
      </w:r>
      <w:r>
        <w:t xml:space="preserve"> to be more realistic for DFW area and economy; (3) </w:t>
      </w:r>
      <w:r w:rsidRPr="004C62A2">
        <w:rPr>
          <w:b/>
        </w:rPr>
        <w:t>addressing the issue of childcare accessibility,</w:t>
      </w:r>
      <w:r w:rsidRPr="00D131C7">
        <w:t xml:space="preserve"> which </w:t>
      </w:r>
      <w:r>
        <w:t xml:space="preserve">has been diligently researched (34 page Childcare report on TCU GSS website). </w:t>
      </w:r>
      <w:hyperlink r:id="rId8" w:history="1">
        <w:r>
          <w:rPr>
            <w:rStyle w:val="Hyperlink"/>
          </w:rPr>
          <w:t>http://1tqv9d4c8ku71ziklj4cph72-wpengine.netdna-ssl.com/wp-content/uploads/2018/02/GSS-Child-Care-Report.pdf</w:t>
        </w:r>
      </w:hyperlink>
    </w:p>
    <w:p w14:paraId="083E86FE" w14:textId="77777777" w:rsidR="004C62A2" w:rsidRDefault="004C62A2" w:rsidP="004C62A2">
      <w:pPr>
        <w:pStyle w:val="ListParagraph"/>
        <w:ind w:left="360"/>
      </w:pPr>
    </w:p>
    <w:p w14:paraId="2E2B60DD" w14:textId="329537BE" w:rsidR="004C62A2" w:rsidRDefault="004C62A2" w:rsidP="004C62A2">
      <w:pPr>
        <w:pStyle w:val="ListParagraph"/>
        <w:numPr>
          <w:ilvl w:val="0"/>
          <w:numId w:val="2"/>
        </w:numPr>
      </w:pPr>
      <w:r w:rsidRPr="004C62A2">
        <w:rPr>
          <w:b/>
        </w:rPr>
        <w:t xml:space="preserve">Chris Hightower, chair of Staff Assembly, </w:t>
      </w:r>
      <w:r>
        <w:t xml:space="preserve">gave a brief word of greeting. He said that Staff Assembly has set this year’s committee goals to align with the Lead On Strategic Plan. They are also following up on previous resolutions (such as the Ombuds issue and exempt/non-exempt </w:t>
      </w:r>
      <w:r>
        <w:t xml:space="preserve">employee </w:t>
      </w:r>
      <w:r>
        <w:t xml:space="preserve">equity issue). In order to focus on strengthening the campus culture at TCU and the Workforce, SA has developed an </w:t>
      </w:r>
      <w:r w:rsidRPr="004C62A2">
        <w:rPr>
          <w:b/>
        </w:rPr>
        <w:t xml:space="preserve">“Atta Frog” </w:t>
      </w:r>
      <w:r>
        <w:t xml:space="preserve">program, which will recognize “above and beyond work” on campus. </w:t>
      </w:r>
      <w:r>
        <w:t xml:space="preserve">He invited nominations be sent </w:t>
      </w:r>
      <w:r>
        <w:t>through Clark Jones.</w:t>
      </w:r>
    </w:p>
    <w:p w14:paraId="0337529B" w14:textId="77777777" w:rsidR="00BE4D89" w:rsidRPr="00281408" w:rsidRDefault="00BE4D89" w:rsidP="00BE4D89">
      <w:pPr>
        <w:pStyle w:val="ListParagraph"/>
        <w:spacing w:before="60" w:after="60"/>
        <w:ind w:left="360"/>
        <w:rPr>
          <w:rFonts w:cs="Times New Roman"/>
          <w:b/>
          <w:sz w:val="22"/>
          <w:szCs w:val="22"/>
        </w:rPr>
      </w:pPr>
    </w:p>
    <w:p w14:paraId="036AFC9E" w14:textId="372C2E32" w:rsidR="004C62A2" w:rsidRDefault="004C62A2" w:rsidP="004C62A2">
      <w:pPr>
        <w:pStyle w:val="ListParagraph"/>
        <w:numPr>
          <w:ilvl w:val="0"/>
          <w:numId w:val="2"/>
        </w:numPr>
      </w:pPr>
      <w:r w:rsidRPr="004C62A2">
        <w:t xml:space="preserve">Next, </w:t>
      </w:r>
      <w:r w:rsidRPr="004C62A2">
        <w:rPr>
          <w:b/>
        </w:rPr>
        <w:t>S</w:t>
      </w:r>
      <w:r>
        <w:rPr>
          <w:b/>
        </w:rPr>
        <w:t xml:space="preserve">tudent </w:t>
      </w:r>
      <w:r w:rsidRPr="004C62A2">
        <w:rPr>
          <w:b/>
        </w:rPr>
        <w:t>G</w:t>
      </w:r>
      <w:r>
        <w:rPr>
          <w:b/>
        </w:rPr>
        <w:t xml:space="preserve">overnment </w:t>
      </w:r>
      <w:r w:rsidRPr="004C62A2">
        <w:rPr>
          <w:b/>
        </w:rPr>
        <w:t>A</w:t>
      </w:r>
      <w:r>
        <w:rPr>
          <w:b/>
        </w:rPr>
        <w:t>ssociation</w:t>
      </w:r>
      <w:r w:rsidRPr="004C62A2">
        <w:rPr>
          <w:b/>
        </w:rPr>
        <w:t xml:space="preserve"> </w:t>
      </w:r>
      <w:r>
        <w:rPr>
          <w:b/>
        </w:rPr>
        <w:t xml:space="preserve">(SGA) </w:t>
      </w:r>
      <w:r w:rsidRPr="004C62A2">
        <w:rPr>
          <w:b/>
        </w:rPr>
        <w:t>President Josh Witkop</w:t>
      </w:r>
      <w:r>
        <w:t xml:space="preserve"> addressed the </w:t>
      </w:r>
      <w:r>
        <w:t>Senate</w:t>
      </w:r>
      <w:r>
        <w:t xml:space="preserve">. SGA plans to continue to support work with Title IX folks and the Mental Health and Counseling Center, in order to integrate student support services into all dimensions of the university. SGA will also focus on how to get the Honor Code information out to the students and emphasize the issue of academic integrity. Four (4) new initiatives for SGA’s work this year will be: (1) </w:t>
      </w:r>
      <w:r w:rsidRPr="004C62A2">
        <w:rPr>
          <w:b/>
        </w:rPr>
        <w:t>Revising the Pass/No-Credit System</w:t>
      </w:r>
      <w:r>
        <w:t>;</w:t>
      </w:r>
      <w:r>
        <w:t xml:space="preserve"> (2) </w:t>
      </w:r>
      <w:r w:rsidRPr="004C62A2">
        <w:rPr>
          <w:b/>
        </w:rPr>
        <w:t>Moving from Paper Scantrons to Electronic Testing</w:t>
      </w:r>
      <w:r>
        <w:t xml:space="preserve">—to be phased in; (3) </w:t>
      </w:r>
      <w:r w:rsidRPr="004C62A2">
        <w:rPr>
          <w:b/>
        </w:rPr>
        <w:t>Integrating Service Learning into the DEI Curriculum</w:t>
      </w:r>
      <w:r>
        <w:t xml:space="preserve"> (see meta</w:t>
      </w:r>
      <w:r>
        <w:t>-</w:t>
      </w:r>
      <w:r>
        <w:t xml:space="preserve">study from Vanderbilt); (4) </w:t>
      </w:r>
      <w:r w:rsidRPr="004C62A2">
        <w:rPr>
          <w:b/>
        </w:rPr>
        <w:t>Making</w:t>
      </w:r>
      <w:r>
        <w:t xml:space="preserve"> </w:t>
      </w:r>
      <w:r w:rsidRPr="004C62A2">
        <w:rPr>
          <w:b/>
        </w:rPr>
        <w:t>D2L Grade Posting standard practice</w:t>
      </w:r>
      <w:r>
        <w:t>, for student convenience and sensibility. Josh invited the Faculty Senate to work with SGA for greater TCU good.</w:t>
      </w:r>
    </w:p>
    <w:p w14:paraId="33FFCD77" w14:textId="77777777" w:rsidR="00FB18BD" w:rsidRPr="00281408" w:rsidRDefault="00FB18BD" w:rsidP="00FB18BD">
      <w:pPr>
        <w:pStyle w:val="ListParagraph"/>
        <w:rPr>
          <w:rFonts w:ascii="Bell MT" w:hAnsi="Bell MT"/>
          <w:bCs/>
          <w:sz w:val="22"/>
          <w:szCs w:val="22"/>
        </w:rPr>
      </w:pPr>
    </w:p>
    <w:p w14:paraId="7B18825B" w14:textId="267BAB6B" w:rsidR="004C62A2" w:rsidRDefault="004C62A2" w:rsidP="009A72D6">
      <w:pPr>
        <w:pStyle w:val="ListParagraph"/>
        <w:numPr>
          <w:ilvl w:val="0"/>
          <w:numId w:val="2"/>
        </w:numPr>
      </w:pPr>
      <w:r w:rsidRPr="004C62A2">
        <w:rPr>
          <w:b/>
        </w:rPr>
        <w:t>Next, Claire Sanders</w:t>
      </w:r>
      <w:r>
        <w:t xml:space="preserve">, the new Provost’s Faculty Fellow </w:t>
      </w:r>
      <w:r w:rsidR="00F02E27">
        <w:t xml:space="preserve">for DEI </w:t>
      </w:r>
      <w:r>
        <w:t>and faculty member in the History Department,</w:t>
      </w:r>
      <w:r w:rsidRPr="0071339F">
        <w:t xml:space="preserve"> </w:t>
      </w:r>
      <w:r>
        <w:t xml:space="preserve">gave a brief overview of the membership and work of the </w:t>
      </w:r>
      <w:r w:rsidRPr="004C62A2">
        <w:rPr>
          <w:b/>
        </w:rPr>
        <w:t>DEI Essential Competency Implementation Committee</w:t>
      </w:r>
      <w:r>
        <w:t xml:space="preserve">. This group, with representatives from each of TCU’s academic units, </w:t>
      </w:r>
      <w:r w:rsidRPr="004C62A2">
        <w:rPr>
          <w:b/>
        </w:rPr>
        <w:t xml:space="preserve"> plans to “go on the road”</w:t>
      </w:r>
      <w:r>
        <w:t xml:space="preserve"> to meet in person with interested faculty in every college and school for in-depth conversations on the DEI EC and all of the details of how the whole process works and what needs to be considered.</w:t>
      </w:r>
      <w:r>
        <w:t xml:space="preserve"> </w:t>
      </w:r>
      <w:r>
        <w:t xml:space="preserve">Sanders said that, as of next week, there will be a </w:t>
      </w:r>
      <w:r w:rsidRPr="004C62A2">
        <w:rPr>
          <w:b/>
        </w:rPr>
        <w:t>D2L Course Shell</w:t>
      </w:r>
      <w:r>
        <w:t xml:space="preserve"> </w:t>
      </w:r>
      <w:r w:rsidRPr="004C62A2">
        <w:rPr>
          <w:b/>
        </w:rPr>
        <w:t>to facilitate a DEI EC threaded discussion</w:t>
      </w:r>
      <w:r>
        <w:t>, so that faculty can continue to post questions and comments in an on-line forum. She wants everyone to be able to engage with this material—for questions and input. There will also be Working Groups on Instructor Training in DEI matters, to ensure an effective delivery of this new pedagogy, including experiential learning/service learning.</w:t>
      </w:r>
    </w:p>
    <w:p w14:paraId="36CD9670" w14:textId="77777777" w:rsidR="00FB18BD" w:rsidRPr="00281408" w:rsidRDefault="00FB18BD" w:rsidP="00FB18BD">
      <w:pPr>
        <w:rPr>
          <w:sz w:val="22"/>
          <w:szCs w:val="22"/>
        </w:rPr>
      </w:pPr>
    </w:p>
    <w:p w14:paraId="329488AC" w14:textId="79413DEB" w:rsidR="00EF4176" w:rsidRDefault="00EF4176" w:rsidP="00EF4176">
      <w:pPr>
        <w:pStyle w:val="ListParagraph"/>
        <w:numPr>
          <w:ilvl w:val="0"/>
          <w:numId w:val="2"/>
        </w:numPr>
      </w:pPr>
      <w:r w:rsidRPr="00EF4176">
        <w:rPr>
          <w:b/>
        </w:rPr>
        <w:lastRenderedPageBreak/>
        <w:t>Chair</w:t>
      </w:r>
      <w:r>
        <w:rPr>
          <w:b/>
        </w:rPr>
        <w:t xml:space="preserve"> </w:t>
      </w:r>
      <w:r w:rsidRPr="00EF4176">
        <w:rPr>
          <w:b/>
        </w:rPr>
        <w:t>Clark Jones</w:t>
      </w:r>
      <w:r>
        <w:t xml:space="preserve"> </w:t>
      </w:r>
      <w:r w:rsidR="00F02E27">
        <w:t>presided over an open discussion that ranged from parking to the need to make TCU graduate education more affordable to how to make meetings more efficient by having the “word-smithing” done ahead of time by designated senators to more effective communication by means of the Senate website. He closed by wishing everyone a good new school year.</w:t>
      </w:r>
    </w:p>
    <w:p w14:paraId="34FC3C22" w14:textId="77777777" w:rsidR="00EF4176" w:rsidRDefault="00EF4176" w:rsidP="00EF4176">
      <w:pPr>
        <w:pStyle w:val="ListParagraph"/>
      </w:pPr>
    </w:p>
    <w:p w14:paraId="074903B5" w14:textId="609A1742" w:rsidR="00EF4176" w:rsidRDefault="00EF4176" w:rsidP="00EF4176">
      <w:r>
        <w:t>The meeting was adjourned at 4:</w:t>
      </w:r>
      <w:r w:rsidR="00F02E27">
        <w:t>55 p.m</w:t>
      </w:r>
      <w:r>
        <w:t>.</w:t>
      </w:r>
    </w:p>
    <w:p w14:paraId="43236B7F" w14:textId="77777777" w:rsidR="00EF4176" w:rsidRDefault="00EF4176" w:rsidP="00EF4176"/>
    <w:p w14:paraId="171FFE77" w14:textId="40DFB25D" w:rsidR="00EF4176" w:rsidRDefault="00EF4176" w:rsidP="00EF4176">
      <w:r>
        <w:t>Respectfully submitted,</w:t>
      </w:r>
    </w:p>
    <w:p w14:paraId="60CA81B6" w14:textId="53DEFA7C" w:rsidR="00EF4176" w:rsidRDefault="00EF4176" w:rsidP="00EF4176"/>
    <w:p w14:paraId="4171C830" w14:textId="77777777" w:rsidR="00EF4176" w:rsidRDefault="00EF4176" w:rsidP="00EF4176">
      <w:r>
        <w:t>Jan Quesada, Secretary</w:t>
      </w:r>
    </w:p>
    <w:p w14:paraId="4519B2AD" w14:textId="77777777" w:rsidR="00EF4176" w:rsidRDefault="00EF4176" w:rsidP="00EF4176">
      <w:r>
        <w:t>TCU Faculty Senate</w:t>
      </w:r>
    </w:p>
    <w:p w14:paraId="27A30B7B" w14:textId="3465B916" w:rsidR="00EF4176" w:rsidRDefault="00EF4176" w:rsidP="00EF4176"/>
    <w:p w14:paraId="24AC3323" w14:textId="34CF16A6" w:rsidR="009B2669" w:rsidRDefault="009B2669" w:rsidP="00AF3F2E"/>
    <w:sectPr w:rsidR="009B26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1A957" w14:textId="77777777" w:rsidR="003D2FD5" w:rsidRDefault="003D2FD5">
      <w:r>
        <w:separator/>
      </w:r>
    </w:p>
  </w:endnote>
  <w:endnote w:type="continuationSeparator" w:id="0">
    <w:p w14:paraId="114D09EB" w14:textId="77777777" w:rsidR="003D2FD5" w:rsidRDefault="003D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3326" w14:textId="77777777" w:rsidR="003D2FD5" w:rsidRDefault="003D2FD5">
      <w:r>
        <w:separator/>
      </w:r>
    </w:p>
  </w:footnote>
  <w:footnote w:type="continuationSeparator" w:id="0">
    <w:p w14:paraId="0127D030" w14:textId="77777777" w:rsidR="003D2FD5" w:rsidRDefault="003D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3249E3"/>
    <w:multiLevelType w:val="hybridMultilevel"/>
    <w:tmpl w:val="2B0E0316"/>
    <w:numStyleLink w:val="ImportedStyle1"/>
  </w:abstractNum>
  <w:abstractNum w:abstractNumId="2"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tplc="7C66E0DC">
        <w:start w:val="1"/>
        <w:numFmt w:val="decimal"/>
        <w:lvlText w:val="%1."/>
        <w:lvlJc w:val="left"/>
        <w:pPr>
          <w:ind w:left="360" w:hanging="360"/>
        </w:pPr>
        <w:rPr>
          <w:rFonts w:ascii="Times New Roman" w:hAnsi="Times New Roman" w:cs="Times New Roman" w:hint="default"/>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D15C31E8">
        <w:start w:val="1"/>
        <w:numFmt w:val="decimal"/>
        <w:lvlText w:val="%4."/>
        <w:lvlJc w:val="left"/>
        <w:pPr>
          <w:ind w:left="36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C"/>
    <w:rsid w:val="00002EB4"/>
    <w:rsid w:val="00005412"/>
    <w:rsid w:val="00016F1A"/>
    <w:rsid w:val="00020151"/>
    <w:rsid w:val="00023C90"/>
    <w:rsid w:val="000274E8"/>
    <w:rsid w:val="00040BDC"/>
    <w:rsid w:val="00087BF8"/>
    <w:rsid w:val="00090E01"/>
    <w:rsid w:val="000A6520"/>
    <w:rsid w:val="000A7028"/>
    <w:rsid w:val="000B2096"/>
    <w:rsid w:val="000E1B39"/>
    <w:rsid w:val="000E3AF7"/>
    <w:rsid w:val="0011693B"/>
    <w:rsid w:val="00134475"/>
    <w:rsid w:val="00157137"/>
    <w:rsid w:val="00160607"/>
    <w:rsid w:val="00164FA6"/>
    <w:rsid w:val="001720B6"/>
    <w:rsid w:val="001773FC"/>
    <w:rsid w:val="00196279"/>
    <w:rsid w:val="00197F1B"/>
    <w:rsid w:val="001A47E8"/>
    <w:rsid w:val="001B29EB"/>
    <w:rsid w:val="001B6E48"/>
    <w:rsid w:val="001C294E"/>
    <w:rsid w:val="001F6C30"/>
    <w:rsid w:val="002061C2"/>
    <w:rsid w:val="00206C03"/>
    <w:rsid w:val="00211503"/>
    <w:rsid w:val="002121C7"/>
    <w:rsid w:val="00241F87"/>
    <w:rsid w:val="00281408"/>
    <w:rsid w:val="002939EA"/>
    <w:rsid w:val="002A6807"/>
    <w:rsid w:val="002C3CCB"/>
    <w:rsid w:val="002D6AB0"/>
    <w:rsid w:val="002E12A7"/>
    <w:rsid w:val="002E4915"/>
    <w:rsid w:val="002E548D"/>
    <w:rsid w:val="002F2427"/>
    <w:rsid w:val="003028AD"/>
    <w:rsid w:val="003076F1"/>
    <w:rsid w:val="003146E8"/>
    <w:rsid w:val="0031480B"/>
    <w:rsid w:val="00331BA8"/>
    <w:rsid w:val="003346D6"/>
    <w:rsid w:val="003371A5"/>
    <w:rsid w:val="003546CA"/>
    <w:rsid w:val="003568B3"/>
    <w:rsid w:val="003651DA"/>
    <w:rsid w:val="00382354"/>
    <w:rsid w:val="003953B0"/>
    <w:rsid w:val="003A1478"/>
    <w:rsid w:val="003B020E"/>
    <w:rsid w:val="003B1DDE"/>
    <w:rsid w:val="003B662F"/>
    <w:rsid w:val="003B6BE8"/>
    <w:rsid w:val="003D07AF"/>
    <w:rsid w:val="003D2FD5"/>
    <w:rsid w:val="003D36D0"/>
    <w:rsid w:val="003D6636"/>
    <w:rsid w:val="003E7925"/>
    <w:rsid w:val="003F51A2"/>
    <w:rsid w:val="004013A3"/>
    <w:rsid w:val="004017F4"/>
    <w:rsid w:val="004045C8"/>
    <w:rsid w:val="00407789"/>
    <w:rsid w:val="00412C46"/>
    <w:rsid w:val="0041638A"/>
    <w:rsid w:val="00423172"/>
    <w:rsid w:val="00436637"/>
    <w:rsid w:val="00450A02"/>
    <w:rsid w:val="00454848"/>
    <w:rsid w:val="004728BC"/>
    <w:rsid w:val="00474DC0"/>
    <w:rsid w:val="00492779"/>
    <w:rsid w:val="00493F5A"/>
    <w:rsid w:val="004A42FC"/>
    <w:rsid w:val="004B3392"/>
    <w:rsid w:val="004B4734"/>
    <w:rsid w:val="004C62A2"/>
    <w:rsid w:val="004D3E24"/>
    <w:rsid w:val="004D4A2D"/>
    <w:rsid w:val="004D572C"/>
    <w:rsid w:val="004E3144"/>
    <w:rsid w:val="004F78C8"/>
    <w:rsid w:val="005019F4"/>
    <w:rsid w:val="00553DE5"/>
    <w:rsid w:val="0055463C"/>
    <w:rsid w:val="00570F86"/>
    <w:rsid w:val="00591BA0"/>
    <w:rsid w:val="005B070C"/>
    <w:rsid w:val="005D28BA"/>
    <w:rsid w:val="005D5AE9"/>
    <w:rsid w:val="005F2EBB"/>
    <w:rsid w:val="00600B75"/>
    <w:rsid w:val="00623B9B"/>
    <w:rsid w:val="0063110A"/>
    <w:rsid w:val="0063204F"/>
    <w:rsid w:val="00644249"/>
    <w:rsid w:val="00676478"/>
    <w:rsid w:val="00677AF9"/>
    <w:rsid w:val="00681E4C"/>
    <w:rsid w:val="00683BBC"/>
    <w:rsid w:val="00691337"/>
    <w:rsid w:val="006A6EC2"/>
    <w:rsid w:val="006C41CA"/>
    <w:rsid w:val="006D6A4E"/>
    <w:rsid w:val="006D7CAE"/>
    <w:rsid w:val="006E0FF4"/>
    <w:rsid w:val="006F65A4"/>
    <w:rsid w:val="006F7861"/>
    <w:rsid w:val="00706443"/>
    <w:rsid w:val="0071206F"/>
    <w:rsid w:val="00731F8E"/>
    <w:rsid w:val="00732411"/>
    <w:rsid w:val="00747337"/>
    <w:rsid w:val="0076462C"/>
    <w:rsid w:val="00765A79"/>
    <w:rsid w:val="007718CD"/>
    <w:rsid w:val="007748D2"/>
    <w:rsid w:val="00787BD2"/>
    <w:rsid w:val="00790F94"/>
    <w:rsid w:val="00797339"/>
    <w:rsid w:val="007A1147"/>
    <w:rsid w:val="007A1708"/>
    <w:rsid w:val="007A2BCA"/>
    <w:rsid w:val="007E692B"/>
    <w:rsid w:val="0080164E"/>
    <w:rsid w:val="00802B43"/>
    <w:rsid w:val="00806756"/>
    <w:rsid w:val="00814A6C"/>
    <w:rsid w:val="00830E19"/>
    <w:rsid w:val="00832AA1"/>
    <w:rsid w:val="00851016"/>
    <w:rsid w:val="00855E2C"/>
    <w:rsid w:val="00857BD8"/>
    <w:rsid w:val="008A2618"/>
    <w:rsid w:val="008B0B31"/>
    <w:rsid w:val="008C06B9"/>
    <w:rsid w:val="008D0E82"/>
    <w:rsid w:val="008D233D"/>
    <w:rsid w:val="008D26E2"/>
    <w:rsid w:val="00902D4A"/>
    <w:rsid w:val="00911E87"/>
    <w:rsid w:val="00920955"/>
    <w:rsid w:val="00930E3E"/>
    <w:rsid w:val="00936040"/>
    <w:rsid w:val="00954074"/>
    <w:rsid w:val="00962B7B"/>
    <w:rsid w:val="00963587"/>
    <w:rsid w:val="00993378"/>
    <w:rsid w:val="009A7070"/>
    <w:rsid w:val="009B0F97"/>
    <w:rsid w:val="009B178A"/>
    <w:rsid w:val="009B2669"/>
    <w:rsid w:val="009C7724"/>
    <w:rsid w:val="009F096E"/>
    <w:rsid w:val="00A02E07"/>
    <w:rsid w:val="00A042AB"/>
    <w:rsid w:val="00A1060E"/>
    <w:rsid w:val="00A146A6"/>
    <w:rsid w:val="00A14FBD"/>
    <w:rsid w:val="00A1788C"/>
    <w:rsid w:val="00A256BB"/>
    <w:rsid w:val="00A3004E"/>
    <w:rsid w:val="00A31896"/>
    <w:rsid w:val="00A43C43"/>
    <w:rsid w:val="00A479B9"/>
    <w:rsid w:val="00A51707"/>
    <w:rsid w:val="00A52C47"/>
    <w:rsid w:val="00A60C68"/>
    <w:rsid w:val="00A6496E"/>
    <w:rsid w:val="00A87937"/>
    <w:rsid w:val="00A901FB"/>
    <w:rsid w:val="00AB0787"/>
    <w:rsid w:val="00AC142F"/>
    <w:rsid w:val="00AC506A"/>
    <w:rsid w:val="00AF0CBE"/>
    <w:rsid w:val="00AF3F2E"/>
    <w:rsid w:val="00B244AF"/>
    <w:rsid w:val="00B2798B"/>
    <w:rsid w:val="00B27E1C"/>
    <w:rsid w:val="00B46327"/>
    <w:rsid w:val="00B46530"/>
    <w:rsid w:val="00B466C3"/>
    <w:rsid w:val="00B479B8"/>
    <w:rsid w:val="00B76D33"/>
    <w:rsid w:val="00B83545"/>
    <w:rsid w:val="00B86C32"/>
    <w:rsid w:val="00BB6ABB"/>
    <w:rsid w:val="00BC29B3"/>
    <w:rsid w:val="00BC62A2"/>
    <w:rsid w:val="00BD443D"/>
    <w:rsid w:val="00BD62FD"/>
    <w:rsid w:val="00BE4D89"/>
    <w:rsid w:val="00C01F65"/>
    <w:rsid w:val="00C12E75"/>
    <w:rsid w:val="00C35B6D"/>
    <w:rsid w:val="00C401CC"/>
    <w:rsid w:val="00C41E89"/>
    <w:rsid w:val="00C52092"/>
    <w:rsid w:val="00C569F4"/>
    <w:rsid w:val="00CA637C"/>
    <w:rsid w:val="00CB4E31"/>
    <w:rsid w:val="00CC2342"/>
    <w:rsid w:val="00CC5B88"/>
    <w:rsid w:val="00CE0B89"/>
    <w:rsid w:val="00CE78E7"/>
    <w:rsid w:val="00CF2EC5"/>
    <w:rsid w:val="00CF637F"/>
    <w:rsid w:val="00D00F46"/>
    <w:rsid w:val="00D06678"/>
    <w:rsid w:val="00D168B4"/>
    <w:rsid w:val="00D22188"/>
    <w:rsid w:val="00D2634F"/>
    <w:rsid w:val="00D5260D"/>
    <w:rsid w:val="00D572FE"/>
    <w:rsid w:val="00D70881"/>
    <w:rsid w:val="00D72137"/>
    <w:rsid w:val="00D75507"/>
    <w:rsid w:val="00D80A52"/>
    <w:rsid w:val="00D87940"/>
    <w:rsid w:val="00D92E66"/>
    <w:rsid w:val="00DB6358"/>
    <w:rsid w:val="00DD4FE6"/>
    <w:rsid w:val="00DD606B"/>
    <w:rsid w:val="00DD6C18"/>
    <w:rsid w:val="00DD7BA5"/>
    <w:rsid w:val="00DE16B0"/>
    <w:rsid w:val="00E054A1"/>
    <w:rsid w:val="00E10C3A"/>
    <w:rsid w:val="00E214C4"/>
    <w:rsid w:val="00E36900"/>
    <w:rsid w:val="00E36CB4"/>
    <w:rsid w:val="00E44307"/>
    <w:rsid w:val="00E64F9A"/>
    <w:rsid w:val="00E74F14"/>
    <w:rsid w:val="00E756E1"/>
    <w:rsid w:val="00E75C96"/>
    <w:rsid w:val="00E94C9D"/>
    <w:rsid w:val="00EB01B5"/>
    <w:rsid w:val="00EB0340"/>
    <w:rsid w:val="00EB1952"/>
    <w:rsid w:val="00EC0542"/>
    <w:rsid w:val="00EC7A1C"/>
    <w:rsid w:val="00ED2524"/>
    <w:rsid w:val="00EE07A0"/>
    <w:rsid w:val="00EF24CB"/>
    <w:rsid w:val="00EF4176"/>
    <w:rsid w:val="00EF79FA"/>
    <w:rsid w:val="00F02E27"/>
    <w:rsid w:val="00F228AB"/>
    <w:rsid w:val="00F2565F"/>
    <w:rsid w:val="00F2577D"/>
    <w:rsid w:val="00F25FB4"/>
    <w:rsid w:val="00F263F5"/>
    <w:rsid w:val="00F62B6F"/>
    <w:rsid w:val="00F64221"/>
    <w:rsid w:val="00F779A6"/>
    <w:rsid w:val="00F812C6"/>
    <w:rsid w:val="00FB18BD"/>
    <w:rsid w:val="00FB6023"/>
    <w:rsid w:val="00FB6B0F"/>
    <w:rsid w:val="00FE1FCC"/>
    <w:rsid w:val="00FE595B"/>
    <w:rsid w:val="00FE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BE4D89"/>
    <w:rPr>
      <w:i/>
      <w:iCs/>
    </w:rPr>
  </w:style>
  <w:style w:type="paragraph" w:styleId="NormalWeb">
    <w:name w:val="Normal (Web)"/>
    <w:basedOn w:val="Normal"/>
    <w:uiPriority w:val="99"/>
    <w:semiHidden/>
    <w:unhideWhenUsed/>
    <w:rsid w:val="006F78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1">
    <w:name w:val="p1"/>
    <w:basedOn w:val="Normal"/>
    <w:rsid w:val="00157137"/>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s="Times New Roman"/>
      <w:color w:val="454545"/>
      <w:sz w:val="26"/>
      <w:szCs w:val="26"/>
      <w:bdr w:val="none" w:sz="0" w:space="0" w:color="auto"/>
    </w:rPr>
  </w:style>
  <w:style w:type="character" w:customStyle="1" w:styleId="s1">
    <w:name w:val="s1"/>
    <w:basedOn w:val="DefaultParagraphFont"/>
    <w:rsid w:val="00157137"/>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057506681">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tqv9d4c8ku71ziklj4cph72-wpengine.netdna-ssl.com/wp-content/uploads/2018/02/GSS-Child-Care-Report.pdf" TargetMode="External"/><Relationship Id="rId3" Type="http://schemas.openxmlformats.org/officeDocument/2006/relationships/settings" Target="settings.xml"/><Relationship Id="rId7" Type="http://schemas.openxmlformats.org/officeDocument/2006/relationships/hyperlink" Target="https://provost.tcu.edu/academic-affairs-pri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Quesada, Janis</cp:lastModifiedBy>
  <cp:revision>8</cp:revision>
  <cp:lastPrinted>2019-05-13T17:28:00Z</cp:lastPrinted>
  <dcterms:created xsi:type="dcterms:W3CDTF">2019-09-30T20:02:00Z</dcterms:created>
  <dcterms:modified xsi:type="dcterms:W3CDTF">2019-09-30T21:32:00Z</dcterms:modified>
</cp:coreProperties>
</file>