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EA1B0" w14:textId="77777777" w:rsidR="001773FC" w:rsidRPr="00281408" w:rsidRDefault="004F78C8">
      <w:pPr>
        <w:jc w:val="center"/>
        <w:outlineLvl w:val="0"/>
        <w:rPr>
          <w:b/>
          <w:bCs/>
          <w:sz w:val="22"/>
          <w:szCs w:val="22"/>
        </w:rPr>
      </w:pPr>
      <w:bookmarkStart w:id="0" w:name="_GoBack"/>
      <w:bookmarkEnd w:id="0"/>
      <w:r w:rsidRPr="00281408">
        <w:rPr>
          <w:b/>
          <w:bCs/>
          <w:sz w:val="22"/>
          <w:szCs w:val="22"/>
        </w:rPr>
        <w:t>TCU Faculty Senate Meeting</w:t>
      </w:r>
    </w:p>
    <w:p w14:paraId="574DA731" w14:textId="11A3B7EE" w:rsidR="001773FC" w:rsidRPr="00281408" w:rsidRDefault="007F6746">
      <w:pPr>
        <w:jc w:val="center"/>
        <w:outlineLvl w:val="0"/>
        <w:rPr>
          <w:b/>
          <w:bCs/>
          <w:sz w:val="22"/>
          <w:szCs w:val="22"/>
        </w:rPr>
      </w:pPr>
      <w:r>
        <w:rPr>
          <w:b/>
          <w:bCs/>
          <w:sz w:val="22"/>
          <w:szCs w:val="22"/>
        </w:rPr>
        <w:t>3 October</w:t>
      </w:r>
      <w:r w:rsidR="003B662F" w:rsidRPr="00281408">
        <w:rPr>
          <w:b/>
          <w:bCs/>
          <w:sz w:val="22"/>
          <w:szCs w:val="22"/>
        </w:rPr>
        <w:t xml:space="preserve"> 201</w:t>
      </w:r>
      <w:r w:rsidR="00830E19" w:rsidRPr="00281408">
        <w:rPr>
          <w:b/>
          <w:bCs/>
          <w:sz w:val="22"/>
          <w:szCs w:val="22"/>
        </w:rPr>
        <w:t>9</w:t>
      </w:r>
    </w:p>
    <w:p w14:paraId="5913DCDD" w14:textId="77777777" w:rsidR="001773FC" w:rsidRPr="00281408" w:rsidRDefault="004F78C8">
      <w:pPr>
        <w:jc w:val="center"/>
        <w:outlineLvl w:val="0"/>
        <w:rPr>
          <w:b/>
          <w:bCs/>
          <w:sz w:val="22"/>
          <w:szCs w:val="22"/>
        </w:rPr>
      </w:pPr>
      <w:r w:rsidRPr="00281408">
        <w:rPr>
          <w:b/>
          <w:bCs/>
          <w:sz w:val="22"/>
          <w:szCs w:val="22"/>
        </w:rPr>
        <w:t>3:30 – 5:00 PM</w:t>
      </w:r>
    </w:p>
    <w:p w14:paraId="6A0CF0DC" w14:textId="77777777" w:rsidR="001773FC" w:rsidRPr="00281408" w:rsidRDefault="004F78C8">
      <w:pPr>
        <w:jc w:val="center"/>
        <w:outlineLvl w:val="0"/>
        <w:rPr>
          <w:b/>
          <w:bCs/>
          <w:sz w:val="22"/>
          <w:szCs w:val="22"/>
        </w:rPr>
      </w:pPr>
      <w:r w:rsidRPr="00281408">
        <w:rPr>
          <w:b/>
          <w:bCs/>
          <w:sz w:val="22"/>
          <w:szCs w:val="22"/>
        </w:rPr>
        <w:t>Faculty Senate Chambers</w:t>
      </w:r>
    </w:p>
    <w:p w14:paraId="0D811B51" w14:textId="77777777" w:rsidR="001773FC" w:rsidRPr="00281408" w:rsidRDefault="001773FC">
      <w:pPr>
        <w:jc w:val="center"/>
        <w:outlineLvl w:val="0"/>
        <w:rPr>
          <w:b/>
          <w:bCs/>
          <w:sz w:val="22"/>
          <w:szCs w:val="22"/>
        </w:rPr>
      </w:pPr>
    </w:p>
    <w:p w14:paraId="2D019B6A" w14:textId="77777777" w:rsidR="001773FC" w:rsidRPr="00281408" w:rsidRDefault="004F78C8">
      <w:pPr>
        <w:jc w:val="center"/>
        <w:outlineLvl w:val="0"/>
        <w:rPr>
          <w:b/>
          <w:bCs/>
          <w:sz w:val="22"/>
          <w:szCs w:val="22"/>
          <w:u w:val="single"/>
        </w:rPr>
      </w:pPr>
      <w:r w:rsidRPr="00281408">
        <w:rPr>
          <w:b/>
          <w:bCs/>
          <w:sz w:val="22"/>
          <w:szCs w:val="22"/>
          <w:u w:val="single"/>
        </w:rPr>
        <w:t>Minutes</w:t>
      </w:r>
    </w:p>
    <w:p w14:paraId="31B3F2B2" w14:textId="77777777" w:rsidR="001773FC" w:rsidRPr="00281408" w:rsidRDefault="001773FC">
      <w:pPr>
        <w:jc w:val="center"/>
        <w:outlineLvl w:val="0"/>
        <w:rPr>
          <w:b/>
          <w:bCs/>
          <w:sz w:val="22"/>
          <w:szCs w:val="22"/>
          <w:u w:val="single"/>
        </w:rPr>
      </w:pPr>
    </w:p>
    <w:p w14:paraId="7E7997A8" w14:textId="099C27EE" w:rsidR="00B46530" w:rsidRPr="00281408" w:rsidRDefault="004F78C8" w:rsidP="00B46530">
      <w:pPr>
        <w:outlineLvl w:val="0"/>
        <w:rPr>
          <w:sz w:val="22"/>
          <w:szCs w:val="22"/>
        </w:rPr>
      </w:pPr>
      <w:r w:rsidRPr="00281408">
        <w:rPr>
          <w:b/>
          <w:bCs/>
          <w:sz w:val="22"/>
          <w:szCs w:val="22"/>
        </w:rPr>
        <w:t>Senators Present</w:t>
      </w:r>
      <w:r w:rsidR="00196279" w:rsidRPr="00281408">
        <w:rPr>
          <w:b/>
          <w:bCs/>
          <w:sz w:val="22"/>
          <w:szCs w:val="22"/>
        </w:rPr>
        <w:t xml:space="preserve">: </w:t>
      </w:r>
      <w:r w:rsidR="00211503" w:rsidRPr="00211503">
        <w:rPr>
          <w:bCs/>
          <w:sz w:val="22"/>
          <w:szCs w:val="22"/>
        </w:rPr>
        <w:t>Alexander, Curby;</w:t>
      </w:r>
      <w:r w:rsidR="007F6746" w:rsidRPr="007F6746">
        <w:rPr>
          <w:sz w:val="22"/>
          <w:szCs w:val="22"/>
        </w:rPr>
        <w:t xml:space="preserve"> </w:t>
      </w:r>
      <w:r w:rsidR="007F6746" w:rsidRPr="00281408">
        <w:rPr>
          <w:sz w:val="22"/>
          <w:szCs w:val="22"/>
        </w:rPr>
        <w:t xml:space="preserve">Atkinson, Sean; </w:t>
      </w:r>
      <w:r w:rsidR="004E3144" w:rsidRPr="00281408">
        <w:rPr>
          <w:sz w:val="22"/>
          <w:szCs w:val="22"/>
        </w:rPr>
        <w:t xml:space="preserve">Barger, Kat; </w:t>
      </w:r>
      <w:r w:rsidR="007F6746" w:rsidRPr="00281408">
        <w:rPr>
          <w:sz w:val="22"/>
          <w:szCs w:val="22"/>
        </w:rPr>
        <w:t>Bashore, Lisa;</w:t>
      </w:r>
      <w:r w:rsidR="007F6746">
        <w:rPr>
          <w:sz w:val="22"/>
          <w:szCs w:val="22"/>
        </w:rPr>
        <w:t xml:space="preserve"> </w:t>
      </w:r>
      <w:r w:rsidR="007F6746" w:rsidRPr="00281408">
        <w:rPr>
          <w:sz w:val="22"/>
          <w:szCs w:val="22"/>
        </w:rPr>
        <w:t xml:space="preserve">Bedford, David; </w:t>
      </w:r>
      <w:r w:rsidR="007F6746">
        <w:rPr>
          <w:sz w:val="22"/>
          <w:szCs w:val="22"/>
        </w:rPr>
        <w:t xml:space="preserve"> </w:t>
      </w:r>
      <w:r w:rsidR="00211503">
        <w:rPr>
          <w:sz w:val="22"/>
          <w:szCs w:val="22"/>
        </w:rPr>
        <w:t xml:space="preserve">Bentley, Joshua; </w:t>
      </w:r>
      <w:r w:rsidR="00211503" w:rsidRPr="00281408">
        <w:rPr>
          <w:sz w:val="22"/>
          <w:szCs w:val="22"/>
        </w:rPr>
        <w:t>Bowen, Kendra;</w:t>
      </w:r>
      <w:r w:rsidR="00211503">
        <w:rPr>
          <w:sz w:val="22"/>
          <w:szCs w:val="22"/>
        </w:rPr>
        <w:t xml:space="preserve"> </w:t>
      </w:r>
      <w:r w:rsidR="00211503" w:rsidRPr="00281408">
        <w:rPr>
          <w:sz w:val="22"/>
          <w:szCs w:val="22"/>
        </w:rPr>
        <w:t xml:space="preserve">Busbey, Art; </w:t>
      </w:r>
      <w:r w:rsidR="00016F1A" w:rsidRPr="00281408">
        <w:rPr>
          <w:sz w:val="22"/>
          <w:szCs w:val="22"/>
        </w:rPr>
        <w:t>Carri</w:t>
      </w:r>
      <w:r w:rsidR="00016F1A" w:rsidRPr="00281408">
        <w:rPr>
          <w:rFonts w:cs="Times New Roman"/>
          <w:sz w:val="22"/>
          <w:szCs w:val="22"/>
        </w:rPr>
        <w:t>ó</w:t>
      </w:r>
      <w:r w:rsidR="00016F1A" w:rsidRPr="00281408">
        <w:rPr>
          <w:sz w:val="22"/>
          <w:szCs w:val="22"/>
        </w:rPr>
        <w:t>n, Jos</w:t>
      </w:r>
      <w:r w:rsidR="00016F1A" w:rsidRPr="00281408">
        <w:rPr>
          <w:rFonts w:cs="Times New Roman"/>
          <w:sz w:val="22"/>
          <w:szCs w:val="22"/>
        </w:rPr>
        <w:t>é;</w:t>
      </w:r>
      <w:r w:rsidR="007F6746" w:rsidRPr="007F6746">
        <w:rPr>
          <w:sz w:val="22"/>
          <w:szCs w:val="22"/>
        </w:rPr>
        <w:t xml:space="preserve"> </w:t>
      </w:r>
      <w:r w:rsidR="007F6746">
        <w:rPr>
          <w:sz w:val="22"/>
          <w:szCs w:val="22"/>
        </w:rPr>
        <w:t>Carter, Suzanne;</w:t>
      </w:r>
      <w:r w:rsidR="00016F1A" w:rsidRPr="00281408">
        <w:rPr>
          <w:rFonts w:cs="Times New Roman"/>
          <w:sz w:val="22"/>
          <w:szCs w:val="22"/>
        </w:rPr>
        <w:t xml:space="preserve"> </w:t>
      </w:r>
      <w:r w:rsidR="00211503">
        <w:rPr>
          <w:rFonts w:cs="Times New Roman"/>
          <w:sz w:val="22"/>
          <w:szCs w:val="22"/>
        </w:rPr>
        <w:t xml:space="preserve">Craig, Layne; </w:t>
      </w:r>
      <w:r w:rsidR="000E3AF7">
        <w:rPr>
          <w:rFonts w:cs="Times New Roman"/>
          <w:sz w:val="22"/>
          <w:szCs w:val="22"/>
        </w:rPr>
        <w:t>Elwell, Sage;</w:t>
      </w:r>
      <w:r w:rsidR="00211503" w:rsidRPr="00281408">
        <w:rPr>
          <w:sz w:val="22"/>
          <w:szCs w:val="22"/>
        </w:rPr>
        <w:t xml:space="preserve"> </w:t>
      </w:r>
      <w:r w:rsidR="00677AF9" w:rsidRPr="00281408">
        <w:rPr>
          <w:sz w:val="22"/>
          <w:szCs w:val="22"/>
        </w:rPr>
        <w:t xml:space="preserve">Frable, Pamela; </w:t>
      </w:r>
      <w:r w:rsidR="008D26E2" w:rsidRPr="00281408">
        <w:rPr>
          <w:sz w:val="22"/>
          <w:szCs w:val="22"/>
        </w:rPr>
        <w:t xml:space="preserve">Friedman, Greg; </w:t>
      </w:r>
      <w:r w:rsidR="000E3AF7" w:rsidRPr="00281408">
        <w:rPr>
          <w:sz w:val="22"/>
          <w:szCs w:val="22"/>
        </w:rPr>
        <w:t xml:space="preserve">Fripp, Jessica; </w:t>
      </w:r>
      <w:r w:rsidR="00016F1A" w:rsidRPr="00281408">
        <w:rPr>
          <w:sz w:val="22"/>
          <w:szCs w:val="22"/>
        </w:rPr>
        <w:t>G</w:t>
      </w:r>
      <w:r w:rsidR="00211503">
        <w:rPr>
          <w:sz w:val="22"/>
          <w:szCs w:val="22"/>
        </w:rPr>
        <w:t xml:space="preserve">il, Dan; Gonzales, Eric; Hammad, Hanan; </w:t>
      </w:r>
      <w:r w:rsidR="00211503">
        <w:rPr>
          <w:rFonts w:cs="Times New Roman"/>
          <w:sz w:val="22"/>
          <w:szCs w:val="22"/>
        </w:rPr>
        <w:t xml:space="preserve">Harvey, Omar; </w:t>
      </w:r>
      <w:r w:rsidR="00016F1A" w:rsidRPr="00281408">
        <w:rPr>
          <w:sz w:val="22"/>
          <w:szCs w:val="22"/>
        </w:rPr>
        <w:t xml:space="preserve">Havens, Jill; </w:t>
      </w:r>
      <w:r w:rsidR="00211503" w:rsidRPr="00281408">
        <w:rPr>
          <w:sz w:val="22"/>
          <w:szCs w:val="22"/>
        </w:rPr>
        <w:t>Hawley, Diane</w:t>
      </w:r>
      <w:r w:rsidR="000E3AF7" w:rsidRPr="00281408">
        <w:rPr>
          <w:sz w:val="22"/>
          <w:szCs w:val="22"/>
        </w:rPr>
        <w:t xml:space="preserve">; </w:t>
      </w:r>
      <w:r w:rsidR="008D26E2" w:rsidRPr="00281408">
        <w:rPr>
          <w:sz w:val="22"/>
          <w:szCs w:val="22"/>
        </w:rPr>
        <w:t xml:space="preserve">Herzig, Emily; </w:t>
      </w:r>
      <w:r w:rsidR="003651DA" w:rsidRPr="00281408">
        <w:rPr>
          <w:sz w:val="22"/>
          <w:szCs w:val="22"/>
        </w:rPr>
        <w:t>Ho</w:t>
      </w:r>
      <w:r w:rsidR="00211503">
        <w:rPr>
          <w:sz w:val="22"/>
          <w:szCs w:val="22"/>
        </w:rPr>
        <w:t>sainy, Hadi;</w:t>
      </w:r>
      <w:r w:rsidR="007F6746">
        <w:rPr>
          <w:sz w:val="22"/>
          <w:szCs w:val="22"/>
        </w:rPr>
        <w:t xml:space="preserve"> Jeffries, Marlo; </w:t>
      </w:r>
      <w:r w:rsidR="007F6746" w:rsidRPr="00281408">
        <w:rPr>
          <w:sz w:val="22"/>
          <w:szCs w:val="22"/>
        </w:rPr>
        <w:t>Johnson, Kevin</w:t>
      </w:r>
      <w:r w:rsidR="007F6746">
        <w:rPr>
          <w:sz w:val="22"/>
          <w:szCs w:val="22"/>
        </w:rPr>
        <w:t xml:space="preserve">; </w:t>
      </w:r>
      <w:r w:rsidR="003651DA" w:rsidRPr="00281408">
        <w:rPr>
          <w:sz w:val="22"/>
          <w:szCs w:val="22"/>
        </w:rPr>
        <w:t xml:space="preserve">Jones, Clark; </w:t>
      </w:r>
      <w:r w:rsidR="00855E2C">
        <w:rPr>
          <w:sz w:val="22"/>
          <w:szCs w:val="22"/>
        </w:rPr>
        <w:t xml:space="preserve">Kiani; </w:t>
      </w:r>
      <w:r w:rsidR="000E3AF7" w:rsidRPr="00281408">
        <w:rPr>
          <w:sz w:val="22"/>
          <w:szCs w:val="22"/>
        </w:rPr>
        <w:t xml:space="preserve">Morgan; </w:t>
      </w:r>
      <w:r w:rsidR="004B3392">
        <w:rPr>
          <w:sz w:val="22"/>
          <w:szCs w:val="22"/>
        </w:rPr>
        <w:t xml:space="preserve">Kim, San-ky; </w:t>
      </w:r>
      <w:r w:rsidR="007F6746">
        <w:rPr>
          <w:sz w:val="22"/>
          <w:szCs w:val="22"/>
        </w:rPr>
        <w:t xml:space="preserve">Langston, Scott; </w:t>
      </w:r>
      <w:r w:rsidR="00B86C32" w:rsidRPr="00281408">
        <w:rPr>
          <w:sz w:val="22"/>
          <w:szCs w:val="22"/>
        </w:rPr>
        <w:t>Ledbetter, Andrew; Ledis, Dennis;</w:t>
      </w:r>
      <w:r w:rsidR="008D26E2" w:rsidRPr="00281408">
        <w:rPr>
          <w:sz w:val="22"/>
          <w:szCs w:val="22"/>
        </w:rPr>
        <w:t xml:space="preserve"> </w:t>
      </w:r>
      <w:r w:rsidR="00016F1A" w:rsidRPr="00281408">
        <w:rPr>
          <w:sz w:val="22"/>
          <w:szCs w:val="22"/>
        </w:rPr>
        <w:t>Legatski, Ted;</w:t>
      </w:r>
      <w:r w:rsidR="00747337" w:rsidRPr="00281408">
        <w:rPr>
          <w:sz w:val="22"/>
          <w:szCs w:val="22"/>
        </w:rPr>
        <w:t xml:space="preserve"> </w:t>
      </w:r>
      <w:r w:rsidR="000E3AF7" w:rsidRPr="00281408">
        <w:rPr>
          <w:sz w:val="22"/>
          <w:szCs w:val="22"/>
        </w:rPr>
        <w:t>Lemon, Alex;</w:t>
      </w:r>
      <w:r w:rsidR="000E3AF7">
        <w:rPr>
          <w:sz w:val="22"/>
          <w:szCs w:val="22"/>
        </w:rPr>
        <w:t xml:space="preserve"> </w:t>
      </w:r>
      <w:r w:rsidR="000E3AF7" w:rsidRPr="00281408">
        <w:rPr>
          <w:sz w:val="22"/>
          <w:szCs w:val="22"/>
        </w:rPr>
        <w:t xml:space="preserve">Lovett, John; </w:t>
      </w:r>
      <w:r w:rsidR="009F096E" w:rsidRPr="00281408">
        <w:rPr>
          <w:sz w:val="22"/>
          <w:szCs w:val="22"/>
        </w:rPr>
        <w:t>Lynch, Laurel;</w:t>
      </w:r>
      <w:r w:rsidR="00AF0CBE" w:rsidRPr="00281408">
        <w:rPr>
          <w:sz w:val="22"/>
          <w:szCs w:val="22"/>
        </w:rPr>
        <w:t xml:space="preserve"> </w:t>
      </w:r>
      <w:r w:rsidR="00EC7A1C" w:rsidRPr="00281408">
        <w:rPr>
          <w:sz w:val="22"/>
          <w:szCs w:val="22"/>
        </w:rPr>
        <w:t xml:space="preserve">Marichal, Albert; </w:t>
      </w:r>
      <w:r w:rsidR="00211503" w:rsidRPr="00281408">
        <w:rPr>
          <w:sz w:val="22"/>
          <w:szCs w:val="22"/>
        </w:rPr>
        <w:t>McGettigan, Joan; Meitl, Michele;</w:t>
      </w:r>
      <w:r w:rsidR="00211503">
        <w:rPr>
          <w:sz w:val="22"/>
          <w:szCs w:val="22"/>
        </w:rPr>
        <w:t xml:space="preserve"> </w:t>
      </w:r>
      <w:r w:rsidR="00AF0CBE" w:rsidRPr="00281408">
        <w:rPr>
          <w:sz w:val="22"/>
          <w:szCs w:val="22"/>
        </w:rPr>
        <w:t>Meyn, Till;</w:t>
      </w:r>
      <w:r w:rsidR="00787BD2" w:rsidRPr="00281408">
        <w:rPr>
          <w:sz w:val="22"/>
          <w:szCs w:val="22"/>
        </w:rPr>
        <w:t xml:space="preserve"> </w:t>
      </w:r>
      <w:r w:rsidR="003651DA" w:rsidRPr="00281408">
        <w:rPr>
          <w:sz w:val="22"/>
          <w:szCs w:val="22"/>
        </w:rPr>
        <w:t xml:space="preserve">Moeller, Thomas; </w:t>
      </w:r>
      <w:r w:rsidR="000E3AF7" w:rsidRPr="00281408">
        <w:rPr>
          <w:sz w:val="22"/>
          <w:szCs w:val="22"/>
        </w:rPr>
        <w:t>Moore, Jeff;</w:t>
      </w:r>
      <w:r w:rsidR="007F6746" w:rsidRPr="007F6746">
        <w:rPr>
          <w:sz w:val="22"/>
          <w:szCs w:val="22"/>
        </w:rPr>
        <w:t xml:space="preserve"> </w:t>
      </w:r>
      <w:r w:rsidR="007F6746">
        <w:rPr>
          <w:sz w:val="22"/>
          <w:szCs w:val="22"/>
        </w:rPr>
        <w:t>Murray, Joddy;</w:t>
      </w:r>
      <w:r w:rsidR="000E3AF7" w:rsidRPr="00281408">
        <w:rPr>
          <w:sz w:val="22"/>
          <w:szCs w:val="22"/>
        </w:rPr>
        <w:t xml:space="preserve"> </w:t>
      </w:r>
      <w:r w:rsidR="00211503">
        <w:rPr>
          <w:sz w:val="22"/>
          <w:szCs w:val="22"/>
        </w:rPr>
        <w:t xml:space="preserve">Nhan, Johnny; </w:t>
      </w:r>
      <w:r w:rsidR="008D26E2" w:rsidRPr="00281408">
        <w:rPr>
          <w:sz w:val="22"/>
          <w:szCs w:val="22"/>
        </w:rPr>
        <w:t>Quesada, Jan;</w:t>
      </w:r>
      <w:r w:rsidR="00F25FB4" w:rsidRPr="00281408">
        <w:rPr>
          <w:sz w:val="22"/>
          <w:szCs w:val="22"/>
        </w:rPr>
        <w:t xml:space="preserve"> </w:t>
      </w:r>
      <w:r w:rsidR="00AF0CBE" w:rsidRPr="00281408">
        <w:rPr>
          <w:sz w:val="22"/>
          <w:szCs w:val="22"/>
        </w:rPr>
        <w:t xml:space="preserve">Quinn, Brandy; </w:t>
      </w:r>
      <w:r w:rsidR="00EB1952" w:rsidRPr="00281408">
        <w:rPr>
          <w:sz w:val="22"/>
          <w:szCs w:val="22"/>
        </w:rPr>
        <w:t>Ramasesh, Ranga;</w:t>
      </w:r>
      <w:r w:rsidR="0011693B" w:rsidRPr="00281408">
        <w:rPr>
          <w:sz w:val="22"/>
          <w:szCs w:val="22"/>
        </w:rPr>
        <w:t xml:space="preserve"> </w:t>
      </w:r>
      <w:r w:rsidR="007F6746">
        <w:rPr>
          <w:sz w:val="22"/>
          <w:szCs w:val="22"/>
        </w:rPr>
        <w:t xml:space="preserve">Ryu, Jay; </w:t>
      </w:r>
      <w:r w:rsidR="000E3AF7" w:rsidRPr="00281408">
        <w:rPr>
          <w:sz w:val="22"/>
          <w:szCs w:val="22"/>
        </w:rPr>
        <w:t xml:space="preserve">Sawey, Michael; </w:t>
      </w:r>
      <w:r w:rsidR="00211503">
        <w:rPr>
          <w:sz w:val="22"/>
          <w:szCs w:val="22"/>
        </w:rPr>
        <w:t xml:space="preserve">Sawyer, Chris; </w:t>
      </w:r>
      <w:r w:rsidR="004B3392" w:rsidRPr="00281408">
        <w:rPr>
          <w:sz w:val="22"/>
          <w:szCs w:val="22"/>
        </w:rPr>
        <w:t xml:space="preserve">Schein, Marie; </w:t>
      </w:r>
      <w:r w:rsidR="008D26E2" w:rsidRPr="00281408">
        <w:rPr>
          <w:sz w:val="22"/>
          <w:szCs w:val="22"/>
        </w:rPr>
        <w:t xml:space="preserve">Scherger, Michael; </w:t>
      </w:r>
      <w:r w:rsidR="004B3392">
        <w:rPr>
          <w:sz w:val="22"/>
          <w:szCs w:val="22"/>
        </w:rPr>
        <w:t xml:space="preserve">Schiffer, Adam; </w:t>
      </w:r>
      <w:r w:rsidR="000A6520" w:rsidRPr="00281408">
        <w:rPr>
          <w:sz w:val="22"/>
          <w:szCs w:val="22"/>
        </w:rPr>
        <w:t xml:space="preserve">Scott, Krista; </w:t>
      </w:r>
      <w:r w:rsidR="004B3392">
        <w:rPr>
          <w:sz w:val="22"/>
          <w:szCs w:val="22"/>
        </w:rPr>
        <w:t>Singletary, La</w:t>
      </w:r>
      <w:r w:rsidR="00855E2C">
        <w:rPr>
          <w:sz w:val="22"/>
          <w:szCs w:val="22"/>
        </w:rPr>
        <w:t>ura</w:t>
      </w:r>
      <w:r w:rsidR="004B3392">
        <w:rPr>
          <w:sz w:val="22"/>
          <w:szCs w:val="22"/>
        </w:rPr>
        <w:t xml:space="preserve">; </w:t>
      </w:r>
      <w:r w:rsidR="00AF0CBE" w:rsidRPr="00281408">
        <w:rPr>
          <w:sz w:val="22"/>
          <w:szCs w:val="22"/>
        </w:rPr>
        <w:t xml:space="preserve">Stephens, Greg; </w:t>
      </w:r>
      <w:r w:rsidR="004B3392">
        <w:rPr>
          <w:sz w:val="22"/>
          <w:szCs w:val="22"/>
        </w:rPr>
        <w:t xml:space="preserve">Stewart, Amy; Tyler, Tee; </w:t>
      </w:r>
      <w:r w:rsidR="00EC7A1C" w:rsidRPr="00281408">
        <w:rPr>
          <w:sz w:val="22"/>
          <w:szCs w:val="22"/>
        </w:rPr>
        <w:t xml:space="preserve">Watkins, Timothy; </w:t>
      </w:r>
      <w:r w:rsidR="00B46530" w:rsidRPr="00281408">
        <w:rPr>
          <w:sz w:val="22"/>
          <w:szCs w:val="22"/>
        </w:rPr>
        <w:t>Williams, Daniel;</w:t>
      </w:r>
      <w:r w:rsidR="00BD62FD" w:rsidRPr="00BD62FD">
        <w:rPr>
          <w:sz w:val="22"/>
          <w:szCs w:val="22"/>
        </w:rPr>
        <w:t xml:space="preserve"> </w:t>
      </w:r>
      <w:r w:rsidR="00BD62FD" w:rsidRPr="00281408">
        <w:rPr>
          <w:sz w:val="22"/>
          <w:szCs w:val="22"/>
        </w:rPr>
        <w:t>Wood, Barbara</w:t>
      </w:r>
      <w:r w:rsidR="004B3392">
        <w:rPr>
          <w:sz w:val="22"/>
          <w:szCs w:val="22"/>
        </w:rPr>
        <w:t>; Yang, Qinghua</w:t>
      </w:r>
    </w:p>
    <w:p w14:paraId="261F76D5" w14:textId="70336369" w:rsidR="008D26E2" w:rsidRPr="00281408" w:rsidRDefault="008D26E2" w:rsidP="00D22188">
      <w:pPr>
        <w:outlineLvl w:val="0"/>
        <w:rPr>
          <w:sz w:val="22"/>
          <w:szCs w:val="22"/>
        </w:rPr>
      </w:pPr>
    </w:p>
    <w:p w14:paraId="73905701" w14:textId="6BCEA2D2" w:rsidR="001773FC" w:rsidRPr="00281408" w:rsidRDefault="00DD6C18" w:rsidP="00AF0CBE">
      <w:pPr>
        <w:outlineLvl w:val="0"/>
        <w:rPr>
          <w:sz w:val="22"/>
          <w:szCs w:val="22"/>
        </w:rPr>
      </w:pPr>
      <w:r w:rsidRPr="00281408">
        <w:rPr>
          <w:b/>
          <w:bCs/>
          <w:sz w:val="22"/>
          <w:szCs w:val="22"/>
        </w:rPr>
        <w:t>S</w:t>
      </w:r>
      <w:r w:rsidR="004F78C8" w:rsidRPr="00281408">
        <w:rPr>
          <w:b/>
          <w:bCs/>
          <w:sz w:val="22"/>
          <w:szCs w:val="22"/>
        </w:rPr>
        <w:t>enators Excused</w:t>
      </w:r>
      <w:r w:rsidR="00196279" w:rsidRPr="00281408">
        <w:rPr>
          <w:b/>
          <w:bCs/>
          <w:sz w:val="22"/>
          <w:szCs w:val="22"/>
        </w:rPr>
        <w:t>:</w:t>
      </w:r>
      <w:r w:rsidR="00747337" w:rsidRPr="00281408">
        <w:rPr>
          <w:sz w:val="22"/>
          <w:szCs w:val="22"/>
        </w:rPr>
        <w:t xml:space="preserve"> </w:t>
      </w:r>
      <w:r w:rsidR="007F6746">
        <w:rPr>
          <w:sz w:val="22"/>
          <w:szCs w:val="22"/>
        </w:rPr>
        <w:t>Banos, Antonio;</w:t>
      </w:r>
      <w:r w:rsidR="009F096E" w:rsidRPr="00281408">
        <w:rPr>
          <w:sz w:val="22"/>
          <w:szCs w:val="22"/>
        </w:rPr>
        <w:t xml:space="preserve"> </w:t>
      </w:r>
      <w:r w:rsidR="007F6746" w:rsidRPr="00281408">
        <w:rPr>
          <w:sz w:val="22"/>
          <w:szCs w:val="22"/>
        </w:rPr>
        <w:t>Esposito, Phil; Jackson,</w:t>
      </w:r>
      <w:r w:rsidR="007F6746">
        <w:rPr>
          <w:sz w:val="22"/>
          <w:szCs w:val="22"/>
        </w:rPr>
        <w:t xml:space="preserve"> D.</w:t>
      </w:r>
      <w:r w:rsidR="007F6746" w:rsidRPr="00281408">
        <w:rPr>
          <w:sz w:val="22"/>
          <w:szCs w:val="22"/>
        </w:rPr>
        <w:t xml:space="preserve"> Lynn; Nelson, Karen;</w:t>
      </w:r>
      <w:r w:rsidR="007F6746">
        <w:rPr>
          <w:sz w:val="22"/>
          <w:szCs w:val="22"/>
        </w:rPr>
        <w:t xml:space="preserve"> Nugent, Hylda</w:t>
      </w:r>
    </w:p>
    <w:p w14:paraId="251E2947" w14:textId="77777777" w:rsidR="00F25FB4" w:rsidRPr="00281408" w:rsidRDefault="00F25FB4">
      <w:pPr>
        <w:outlineLvl w:val="0"/>
        <w:rPr>
          <w:sz w:val="22"/>
          <w:szCs w:val="22"/>
        </w:rPr>
      </w:pPr>
    </w:p>
    <w:p w14:paraId="4F68D27B" w14:textId="19BB6CF2" w:rsidR="00A1788C" w:rsidRPr="00281408" w:rsidRDefault="00A1788C" w:rsidP="000E3AF7">
      <w:pPr>
        <w:outlineLvl w:val="0"/>
        <w:rPr>
          <w:sz w:val="22"/>
          <w:szCs w:val="22"/>
        </w:rPr>
      </w:pPr>
      <w:r w:rsidRPr="00281408">
        <w:rPr>
          <w:b/>
          <w:bCs/>
          <w:sz w:val="22"/>
          <w:szCs w:val="22"/>
        </w:rPr>
        <w:t>S</w:t>
      </w:r>
      <w:r w:rsidR="004F78C8" w:rsidRPr="00281408">
        <w:rPr>
          <w:b/>
          <w:bCs/>
          <w:sz w:val="22"/>
          <w:szCs w:val="22"/>
        </w:rPr>
        <w:t>enators Absent</w:t>
      </w:r>
      <w:r w:rsidR="00196279" w:rsidRPr="00281408">
        <w:rPr>
          <w:b/>
          <w:bCs/>
          <w:sz w:val="22"/>
          <w:szCs w:val="22"/>
        </w:rPr>
        <w:t>:</w:t>
      </w:r>
      <w:r w:rsidR="00EC7A1C" w:rsidRPr="00281408">
        <w:rPr>
          <w:b/>
          <w:bCs/>
          <w:sz w:val="22"/>
          <w:szCs w:val="22"/>
        </w:rPr>
        <w:t xml:space="preserve"> </w:t>
      </w:r>
      <w:r w:rsidR="007F6746">
        <w:rPr>
          <w:sz w:val="22"/>
          <w:szCs w:val="22"/>
        </w:rPr>
        <w:t xml:space="preserve">Lauve-Moon, Katie (Harris); Palko, Steve (Education); </w:t>
      </w:r>
      <w:r w:rsidR="004B3392" w:rsidRPr="00281408">
        <w:rPr>
          <w:sz w:val="22"/>
          <w:szCs w:val="22"/>
        </w:rPr>
        <w:t>S</w:t>
      </w:r>
      <w:r w:rsidR="007F6746">
        <w:rPr>
          <w:sz w:val="22"/>
          <w:szCs w:val="22"/>
        </w:rPr>
        <w:t>imanek, Eric (CSE); Walters, Patricia (Neeley)</w:t>
      </w:r>
    </w:p>
    <w:p w14:paraId="63A58559" w14:textId="77777777" w:rsidR="00AF0CBE" w:rsidRPr="00281408" w:rsidRDefault="00AF0CBE">
      <w:pPr>
        <w:outlineLvl w:val="0"/>
        <w:rPr>
          <w:sz w:val="22"/>
          <w:szCs w:val="22"/>
        </w:rPr>
      </w:pPr>
    </w:p>
    <w:p w14:paraId="1FC665A5" w14:textId="21D3F964" w:rsidR="00A60C68" w:rsidRPr="00281408" w:rsidRDefault="004F78C8">
      <w:pPr>
        <w:pStyle w:val="Body1"/>
        <w:spacing w:after="200"/>
        <w:rPr>
          <w:sz w:val="22"/>
          <w:szCs w:val="22"/>
        </w:rPr>
      </w:pPr>
      <w:r w:rsidRPr="00281408">
        <w:rPr>
          <w:b/>
          <w:bCs/>
          <w:sz w:val="22"/>
          <w:szCs w:val="22"/>
        </w:rPr>
        <w:t>Guests Present</w:t>
      </w:r>
      <w:r w:rsidR="00196279" w:rsidRPr="00281408">
        <w:rPr>
          <w:b/>
          <w:bCs/>
          <w:sz w:val="22"/>
          <w:szCs w:val="22"/>
        </w:rPr>
        <w:t>:</w:t>
      </w:r>
      <w:r w:rsidR="00196279" w:rsidRPr="00281408">
        <w:rPr>
          <w:bCs/>
          <w:sz w:val="22"/>
          <w:szCs w:val="22"/>
        </w:rPr>
        <w:t xml:space="preserve"> </w:t>
      </w:r>
      <w:r w:rsidR="004B3392">
        <w:rPr>
          <w:bCs/>
          <w:sz w:val="22"/>
          <w:szCs w:val="22"/>
        </w:rPr>
        <w:t>Teresa Abi-Nader Dahlberg</w:t>
      </w:r>
      <w:r w:rsidR="00A60C68" w:rsidRPr="00281408">
        <w:rPr>
          <w:bCs/>
          <w:sz w:val="22"/>
          <w:szCs w:val="22"/>
        </w:rPr>
        <w:t xml:space="preserve"> (Provost); </w:t>
      </w:r>
      <w:r w:rsidR="00B46530" w:rsidRPr="00281408">
        <w:rPr>
          <w:sz w:val="22"/>
          <w:szCs w:val="22"/>
        </w:rPr>
        <w:t xml:space="preserve">Susan Weeks (Vice Provost); </w:t>
      </w:r>
      <w:r w:rsidR="0071206F">
        <w:rPr>
          <w:sz w:val="22"/>
          <w:szCs w:val="22"/>
        </w:rPr>
        <w:t xml:space="preserve">Yohna Chambers (VC-HR); </w:t>
      </w:r>
      <w:r w:rsidR="00E57894">
        <w:rPr>
          <w:sz w:val="22"/>
          <w:szCs w:val="22"/>
        </w:rPr>
        <w:t xml:space="preserve">Carrie Moore; Sophia Garcia; Abby Vernacchia; Cait Lesko; </w:t>
      </w:r>
      <w:r w:rsidR="0011693B" w:rsidRPr="00281408">
        <w:rPr>
          <w:sz w:val="22"/>
          <w:szCs w:val="22"/>
        </w:rPr>
        <w:t>Eric Gobel</w:t>
      </w:r>
      <w:r w:rsidR="004B3392">
        <w:rPr>
          <w:sz w:val="22"/>
          <w:szCs w:val="22"/>
        </w:rPr>
        <w:t xml:space="preserve"> (grad student)</w:t>
      </w:r>
      <w:r w:rsidR="00BD62FD">
        <w:rPr>
          <w:sz w:val="22"/>
          <w:szCs w:val="22"/>
        </w:rPr>
        <w:t xml:space="preserve">; </w:t>
      </w:r>
      <w:r w:rsidR="00E214C4">
        <w:rPr>
          <w:sz w:val="22"/>
          <w:szCs w:val="22"/>
        </w:rPr>
        <w:t>Robbie Vaglio</w:t>
      </w:r>
      <w:r w:rsidR="00BD62FD">
        <w:rPr>
          <w:sz w:val="22"/>
          <w:szCs w:val="22"/>
        </w:rPr>
        <w:t xml:space="preserve"> (TCU 360); </w:t>
      </w:r>
      <w:r w:rsidR="00E57894">
        <w:rPr>
          <w:sz w:val="22"/>
          <w:szCs w:val="22"/>
        </w:rPr>
        <w:t>Jes</w:t>
      </w:r>
      <w:r w:rsidR="00E57894">
        <w:rPr>
          <w:rFonts w:cs="Times New Roman"/>
          <w:sz w:val="22"/>
          <w:szCs w:val="22"/>
        </w:rPr>
        <w:t>ú</w:t>
      </w:r>
      <w:r w:rsidR="00E57894">
        <w:rPr>
          <w:sz w:val="22"/>
          <w:szCs w:val="22"/>
        </w:rPr>
        <w:t>s Castro-Balbi; Adam Baggs; David Nolan; Sandy Callaghan</w:t>
      </w:r>
    </w:p>
    <w:p w14:paraId="6EC7368E" w14:textId="5AB13553" w:rsidR="001773FC" w:rsidRPr="00281408" w:rsidRDefault="004F78C8">
      <w:pPr>
        <w:pStyle w:val="Body1"/>
        <w:spacing w:after="200"/>
        <w:rPr>
          <w:b/>
          <w:bCs/>
          <w:sz w:val="22"/>
          <w:szCs w:val="22"/>
        </w:rPr>
      </w:pPr>
      <w:r w:rsidRPr="00281408">
        <w:rPr>
          <w:b/>
          <w:bCs/>
          <w:sz w:val="22"/>
          <w:szCs w:val="22"/>
        </w:rPr>
        <w:t>Call to Order</w:t>
      </w:r>
    </w:p>
    <w:p w14:paraId="6B84D5D4" w14:textId="72FF3A28" w:rsidR="001773FC" w:rsidRPr="00281408" w:rsidRDefault="004F78C8">
      <w:pPr>
        <w:pStyle w:val="Body1"/>
        <w:numPr>
          <w:ilvl w:val="0"/>
          <w:numId w:val="2"/>
        </w:numPr>
        <w:spacing w:after="200"/>
        <w:rPr>
          <w:sz w:val="22"/>
          <w:szCs w:val="22"/>
        </w:rPr>
      </w:pPr>
      <w:r w:rsidRPr="00281408">
        <w:rPr>
          <w:sz w:val="22"/>
          <w:szCs w:val="22"/>
        </w:rPr>
        <w:t xml:space="preserve">Faculty Senate </w:t>
      </w:r>
      <w:r w:rsidRPr="00281408">
        <w:rPr>
          <w:b/>
          <w:sz w:val="22"/>
          <w:szCs w:val="22"/>
        </w:rPr>
        <w:t>Chair</w:t>
      </w:r>
      <w:r w:rsidR="00644249" w:rsidRPr="00281408">
        <w:rPr>
          <w:b/>
          <w:sz w:val="22"/>
          <w:szCs w:val="22"/>
        </w:rPr>
        <w:t xml:space="preserve"> </w:t>
      </w:r>
      <w:r w:rsidR="005D5AE9">
        <w:rPr>
          <w:b/>
          <w:sz w:val="22"/>
          <w:szCs w:val="22"/>
        </w:rPr>
        <w:t>Clark Jones</w:t>
      </w:r>
      <w:r w:rsidRPr="00281408">
        <w:rPr>
          <w:sz w:val="22"/>
          <w:szCs w:val="22"/>
        </w:rPr>
        <w:t xml:space="preserve"> called the meeting to order</w:t>
      </w:r>
      <w:r w:rsidR="00F812C6" w:rsidRPr="00281408">
        <w:rPr>
          <w:sz w:val="22"/>
          <w:szCs w:val="22"/>
        </w:rPr>
        <w:t xml:space="preserve"> at 3:</w:t>
      </w:r>
      <w:r w:rsidR="0080164E">
        <w:rPr>
          <w:sz w:val="22"/>
          <w:szCs w:val="22"/>
        </w:rPr>
        <w:t>3</w:t>
      </w:r>
      <w:r w:rsidR="00E212D9">
        <w:rPr>
          <w:sz w:val="22"/>
          <w:szCs w:val="22"/>
        </w:rPr>
        <w:t>0.</w:t>
      </w:r>
    </w:p>
    <w:p w14:paraId="02D53BBE" w14:textId="64A432B8" w:rsidR="00C401CC" w:rsidRDefault="004F78C8" w:rsidP="009B0F97">
      <w:pPr>
        <w:pStyle w:val="Body1"/>
        <w:numPr>
          <w:ilvl w:val="0"/>
          <w:numId w:val="2"/>
        </w:numPr>
        <w:spacing w:after="200"/>
        <w:rPr>
          <w:sz w:val="22"/>
          <w:szCs w:val="22"/>
        </w:rPr>
      </w:pPr>
      <w:r w:rsidRPr="00281408">
        <w:rPr>
          <w:sz w:val="22"/>
          <w:szCs w:val="22"/>
        </w:rPr>
        <w:t xml:space="preserve">The minutes of the </w:t>
      </w:r>
      <w:r w:rsidR="00E212D9">
        <w:rPr>
          <w:sz w:val="22"/>
          <w:szCs w:val="22"/>
        </w:rPr>
        <w:t>September 5</w:t>
      </w:r>
      <w:r w:rsidR="0011693B" w:rsidRPr="00281408">
        <w:rPr>
          <w:sz w:val="22"/>
          <w:szCs w:val="22"/>
        </w:rPr>
        <w:t>, 2019</w:t>
      </w:r>
      <w:r w:rsidR="00C401CC" w:rsidRPr="00281408">
        <w:rPr>
          <w:sz w:val="22"/>
          <w:szCs w:val="22"/>
        </w:rPr>
        <w:t>,</w:t>
      </w:r>
      <w:r w:rsidRPr="00281408">
        <w:rPr>
          <w:sz w:val="22"/>
          <w:szCs w:val="22"/>
        </w:rPr>
        <w:t xml:space="preserve"> meeting of </w:t>
      </w:r>
      <w:r w:rsidR="0080164E">
        <w:rPr>
          <w:sz w:val="22"/>
          <w:szCs w:val="22"/>
        </w:rPr>
        <w:t>the Faculty Senate were approved</w:t>
      </w:r>
      <w:r w:rsidR="00E212D9">
        <w:rPr>
          <w:sz w:val="22"/>
          <w:szCs w:val="22"/>
        </w:rPr>
        <w:t xml:space="preserve"> as submitted.</w:t>
      </w:r>
    </w:p>
    <w:p w14:paraId="0A3AAA18" w14:textId="5045A951" w:rsidR="00E212D9" w:rsidRDefault="00E212D9" w:rsidP="009B0F97">
      <w:pPr>
        <w:pStyle w:val="Body1"/>
        <w:numPr>
          <w:ilvl w:val="0"/>
          <w:numId w:val="2"/>
        </w:numPr>
        <w:spacing w:after="200"/>
        <w:rPr>
          <w:sz w:val="22"/>
          <w:szCs w:val="22"/>
        </w:rPr>
      </w:pPr>
      <w:r>
        <w:rPr>
          <w:sz w:val="22"/>
          <w:szCs w:val="22"/>
        </w:rPr>
        <w:t xml:space="preserve">Jones </w:t>
      </w:r>
      <w:r w:rsidR="00902AFB">
        <w:rPr>
          <w:sz w:val="22"/>
          <w:szCs w:val="22"/>
        </w:rPr>
        <w:t>invited the</w:t>
      </w:r>
      <w:r>
        <w:rPr>
          <w:sz w:val="22"/>
          <w:szCs w:val="22"/>
        </w:rPr>
        <w:t xml:space="preserve"> guests to introduce themselves. </w:t>
      </w:r>
    </w:p>
    <w:p w14:paraId="4CC86E95" w14:textId="72F8A47C" w:rsidR="0080164E" w:rsidRPr="0080164E" w:rsidRDefault="004F78C8" w:rsidP="0080164E">
      <w:pPr>
        <w:pStyle w:val="Body1"/>
        <w:spacing w:after="200"/>
        <w:rPr>
          <w:b/>
          <w:bCs/>
          <w:sz w:val="22"/>
          <w:szCs w:val="22"/>
        </w:rPr>
      </w:pPr>
      <w:r w:rsidRPr="00281408">
        <w:rPr>
          <w:b/>
          <w:bCs/>
          <w:sz w:val="22"/>
          <w:szCs w:val="22"/>
        </w:rPr>
        <w:t>New Business</w:t>
      </w:r>
    </w:p>
    <w:p w14:paraId="112E44A8" w14:textId="20A7FF35" w:rsidR="00157137" w:rsidRPr="00E212D9" w:rsidRDefault="00E212D9" w:rsidP="00E212D9">
      <w:pPr>
        <w:pStyle w:val="ListParagraph"/>
        <w:numPr>
          <w:ilvl w:val="0"/>
          <w:numId w:val="2"/>
        </w:numPr>
        <w:rPr>
          <w:rStyle w:val="s1"/>
          <w:rFonts w:ascii="Times New Roman" w:hAnsi="Times New Roman"/>
          <w:sz w:val="24"/>
          <w:szCs w:val="24"/>
        </w:rPr>
      </w:pPr>
      <w:r w:rsidRPr="00E212D9">
        <w:rPr>
          <w:b/>
        </w:rPr>
        <w:t>Chair Jones</w:t>
      </w:r>
      <w:r>
        <w:t xml:space="preserve"> opened the new business of the mee</w:t>
      </w:r>
      <w:r w:rsidR="008B1592">
        <w:t xml:space="preserve">ting </w:t>
      </w:r>
      <w:r>
        <w:t>with an update on the news of the Chancellor asking the UCAC (University Compensation Advisory Committee) to recommend reductions to benefits for new employees by November, to be voted on and then presented to the Board at its fall meeting. Jones called a Faculty Assembly for Thursday, October 17, at 3:30 p.m., in the BLUU Auditorium.</w:t>
      </w:r>
    </w:p>
    <w:p w14:paraId="7F814D82" w14:textId="77777777" w:rsidR="00157137" w:rsidRPr="00281408" w:rsidRDefault="00157137" w:rsidP="00157137">
      <w:pPr>
        <w:pStyle w:val="p1"/>
        <w:ind w:left="360"/>
        <w:rPr>
          <w:rFonts w:asciiTheme="minorHAnsi" w:hAnsiTheme="minorHAnsi" w:cstheme="minorHAnsi"/>
          <w:color w:val="auto"/>
          <w:sz w:val="22"/>
          <w:szCs w:val="22"/>
        </w:rPr>
      </w:pPr>
    </w:p>
    <w:p w14:paraId="54E0D987" w14:textId="098A27AC" w:rsidR="00E212D9" w:rsidRDefault="005F2EBB" w:rsidP="00EB3F12">
      <w:pPr>
        <w:pStyle w:val="ListParagraph"/>
        <w:numPr>
          <w:ilvl w:val="0"/>
          <w:numId w:val="2"/>
        </w:numPr>
      </w:pPr>
      <w:r w:rsidRPr="00E212D9">
        <w:rPr>
          <w:b/>
        </w:rPr>
        <w:t xml:space="preserve">Provost </w:t>
      </w:r>
      <w:r w:rsidR="0080164E" w:rsidRPr="00E212D9">
        <w:rPr>
          <w:b/>
        </w:rPr>
        <w:t>Teresa Abi-Nader Dahlberg</w:t>
      </w:r>
      <w:r>
        <w:t xml:space="preserve"> addressed the Senate</w:t>
      </w:r>
      <w:r w:rsidR="0080164E">
        <w:t xml:space="preserve">. </w:t>
      </w:r>
      <w:r w:rsidR="00E212D9">
        <w:t xml:space="preserve">She and her team of Vice Provosts and Deans are reviewing, per last year’s Faculty Senate recommendation, </w:t>
      </w:r>
      <w:r w:rsidR="00E212D9" w:rsidRPr="00E212D9">
        <w:rPr>
          <w:b/>
        </w:rPr>
        <w:t>updates TCU’s policies on merited faculty leaves</w:t>
      </w:r>
      <w:r w:rsidR="00E212D9">
        <w:t xml:space="preserve">. She reported progress on the </w:t>
      </w:r>
      <w:r w:rsidR="00E212D9" w:rsidRPr="00E212D9">
        <w:rPr>
          <w:b/>
        </w:rPr>
        <w:t>Page Up</w:t>
      </w:r>
      <w:r w:rsidR="00E212D9">
        <w:t xml:space="preserve"> hiring and employee management software platform. A consultant has been hired to</w:t>
      </w:r>
      <w:r w:rsidR="008B1592">
        <w:t xml:space="preserve"> identify the </w:t>
      </w:r>
      <w:r w:rsidR="00E212D9">
        <w:t>best DEI hiring practices and advise on how to integrate them into the Page Up platform</w:t>
      </w:r>
      <w:r w:rsidR="008B1592">
        <w:t>. June</w:t>
      </w:r>
      <w:r w:rsidR="00E212D9">
        <w:t xml:space="preserve"> 1</w:t>
      </w:r>
      <w:r w:rsidR="00E212D9" w:rsidRPr="00E212D9">
        <w:rPr>
          <w:vertAlign w:val="superscript"/>
        </w:rPr>
        <w:t>st</w:t>
      </w:r>
      <w:r w:rsidR="00E212D9">
        <w:t xml:space="preserve"> is the target launch date. The consultant will pull the DEI and the platform together over the coming months. </w:t>
      </w:r>
      <w:r w:rsidR="00E212D9" w:rsidRPr="00E212D9">
        <w:rPr>
          <w:b/>
        </w:rPr>
        <w:t>Page Up will replace the current hiring softward, iGreentree</w:t>
      </w:r>
      <w:r w:rsidR="00E212D9">
        <w:t xml:space="preserve">. The Provost also reported on the three </w:t>
      </w:r>
      <w:r w:rsidR="00E212D9" w:rsidRPr="00E212D9">
        <w:rPr>
          <w:b/>
        </w:rPr>
        <w:t>new dean searches</w:t>
      </w:r>
      <w:r w:rsidR="00E212D9">
        <w:t xml:space="preserve"> which will soon be underway—for </w:t>
      </w:r>
      <w:r w:rsidR="008B1592">
        <w:lastRenderedPageBreak/>
        <w:t>D</w:t>
      </w:r>
      <w:r w:rsidR="00E212D9">
        <w:t xml:space="preserve">eans of AddRan, Education, and Fine Arts. Under strong leadership, all three committees have been formed and will begin meeting soon. The Provost’s goal is to have the new deans hired by Spring Break. There will be web sites available soon to show progress in dean searches for </w:t>
      </w:r>
      <w:r w:rsidR="008B1592">
        <w:t>TCU faculty</w:t>
      </w:r>
      <w:r w:rsidR="00E212D9">
        <w:t xml:space="preserve"> interested in following along.</w:t>
      </w:r>
    </w:p>
    <w:p w14:paraId="627946B3" w14:textId="777EA6D6" w:rsidR="00E212D9" w:rsidRDefault="00E212D9" w:rsidP="00E212D9"/>
    <w:p w14:paraId="761E46CC" w14:textId="63B4E8B6" w:rsidR="005B01E6" w:rsidRDefault="005B01E6" w:rsidP="005B01E6">
      <w:pPr>
        <w:pStyle w:val="ListParagraph"/>
        <w:numPr>
          <w:ilvl w:val="0"/>
          <w:numId w:val="2"/>
        </w:numPr>
      </w:pPr>
      <w:r>
        <w:t>Next</w:t>
      </w:r>
      <w:r w:rsidRPr="005B01E6">
        <w:rPr>
          <w:b/>
        </w:rPr>
        <w:t xml:space="preserve"> David Nolan and Adam Baggs</w:t>
      </w:r>
      <w:r w:rsidRPr="007645A4">
        <w:t>, from University Advancement</w:t>
      </w:r>
      <w:r>
        <w:t xml:space="preserve">, made a presentation on the upcoming </w:t>
      </w:r>
      <w:r w:rsidRPr="005B01E6">
        <w:rPr>
          <w:b/>
        </w:rPr>
        <w:t>Lead On Capital Campaign for TCU</w:t>
      </w:r>
      <w:r>
        <w:t>—the culmination of “Lead On” branding and strategic planning efforts. They are coordinating the fundraising e</w:t>
      </w:r>
      <w:r w:rsidR="00807625">
        <w:t xml:space="preserve">ffort, with the public phase </w:t>
      </w:r>
      <w:r>
        <w:t>coming soon (</w:t>
      </w:r>
      <w:r w:rsidRPr="005B01E6">
        <w:rPr>
          <w:b/>
        </w:rPr>
        <w:t>October 24</w:t>
      </w:r>
      <w:r w:rsidRPr="005B01E6">
        <w:rPr>
          <w:b/>
          <w:vertAlign w:val="superscript"/>
        </w:rPr>
        <w:t>th</w:t>
      </w:r>
      <w:r w:rsidRPr="005B01E6">
        <w:rPr>
          <w:b/>
        </w:rPr>
        <w:t>, 2019 kickoff</w:t>
      </w:r>
      <w:r>
        <w:t>.) The campaign will run through 2022, with a</w:t>
      </w:r>
      <w:r w:rsidRPr="005B01E6">
        <w:rPr>
          <w:b/>
        </w:rPr>
        <w:t xml:space="preserve"> goal </w:t>
      </w:r>
      <w:r>
        <w:rPr>
          <w:b/>
        </w:rPr>
        <w:t>of</w:t>
      </w:r>
      <w:r w:rsidRPr="005B01E6">
        <w:rPr>
          <w:b/>
        </w:rPr>
        <w:t xml:space="preserve"> $1 billion</w:t>
      </w:r>
      <w:r>
        <w:t>. Campaign priorities are ‘people, programs, and endowment’ (scholarships, endowed faculty support, etc.). Advancement has currently raised 58% towards the goal.  On</w:t>
      </w:r>
      <w:r w:rsidRPr="00B30206">
        <w:t xml:space="preserve"> </w:t>
      </w:r>
      <w:r w:rsidRPr="005B01E6">
        <w:rPr>
          <w:b/>
        </w:rPr>
        <w:t>October 25</w:t>
      </w:r>
      <w:r w:rsidRPr="005B01E6">
        <w:rPr>
          <w:b/>
          <w:vertAlign w:val="superscript"/>
        </w:rPr>
        <w:t>th</w:t>
      </w:r>
      <w:r w:rsidRPr="005B01E6">
        <w:rPr>
          <w:b/>
        </w:rPr>
        <w:t>—Frog Fest</w:t>
      </w:r>
      <w:r>
        <w:t xml:space="preserve"> will be an event open to everyone. Faculty Senators are encouraged to work with their college development officers and to communicate to them faculty ideas and priorities. </w:t>
      </w:r>
    </w:p>
    <w:p w14:paraId="083E86FE" w14:textId="77777777" w:rsidR="004C62A2" w:rsidRDefault="004C62A2" w:rsidP="004C62A2">
      <w:pPr>
        <w:pStyle w:val="ListParagraph"/>
        <w:ind w:left="360"/>
      </w:pPr>
    </w:p>
    <w:p w14:paraId="7BB0A393" w14:textId="6150DF5C" w:rsidR="00432938" w:rsidRDefault="00A54E9B" w:rsidP="00432938">
      <w:pPr>
        <w:pStyle w:val="ListParagraph"/>
        <w:numPr>
          <w:ilvl w:val="0"/>
          <w:numId w:val="2"/>
        </w:numPr>
      </w:pPr>
      <w:r w:rsidRPr="00432938">
        <w:rPr>
          <w:b/>
        </w:rPr>
        <w:t>Sandy Callaghan, Director of the Center for International Studies (CIS),</w:t>
      </w:r>
      <w:r>
        <w:t xml:space="preserve"> gave a presentation about the Center’s </w:t>
      </w:r>
      <w:r w:rsidRPr="00432938">
        <w:rPr>
          <w:b/>
        </w:rPr>
        <w:t>new structures</w:t>
      </w:r>
      <w:r>
        <w:t xml:space="preserve"> relating to health and safety for traveling TCU faculty and students. See CIS website on “Travel Policies” (under Faculty and Staff resources)—</w:t>
      </w:r>
      <w:r w:rsidR="00C941B9">
        <w:t xml:space="preserve">for more information on </w:t>
      </w:r>
      <w:r>
        <w:t>international travel</w:t>
      </w:r>
      <w:r w:rsidR="00807625">
        <w:t xml:space="preserve"> policies</w:t>
      </w:r>
      <w:r>
        <w:t xml:space="preserve">, international programs </w:t>
      </w:r>
      <w:r w:rsidR="00807625">
        <w:t>policy (regarding travel with students), i</w:t>
      </w:r>
      <w:r>
        <w:t xml:space="preserve">nternational </w:t>
      </w:r>
      <w:r w:rsidR="00807625">
        <w:t xml:space="preserve">travel </w:t>
      </w:r>
      <w:r>
        <w:t xml:space="preserve">alcohol and drug policy, per diem policy and rates, </w:t>
      </w:r>
      <w:r w:rsidR="00807625">
        <w:t>and more.</w:t>
      </w:r>
      <w:r w:rsidR="00432938">
        <w:t xml:space="preserve"> Two new TCU committees have been formed to work on behalf of CIS—the</w:t>
      </w:r>
      <w:r w:rsidR="00432938" w:rsidRPr="00432938">
        <w:rPr>
          <w:b/>
        </w:rPr>
        <w:t xml:space="preserve"> International Oversight Committee</w:t>
      </w:r>
      <w:r w:rsidR="00432938">
        <w:t xml:space="preserve"> </w:t>
      </w:r>
      <w:r w:rsidR="00807625">
        <w:t xml:space="preserve">(to develop </w:t>
      </w:r>
      <w:r w:rsidR="00432938">
        <w:t xml:space="preserve">new </w:t>
      </w:r>
      <w:r w:rsidR="00807625">
        <w:t xml:space="preserve">international travel </w:t>
      </w:r>
      <w:r w:rsidR="00432938">
        <w:t xml:space="preserve">policies); and the </w:t>
      </w:r>
      <w:r w:rsidR="00432938" w:rsidRPr="00432938">
        <w:rPr>
          <w:b/>
        </w:rPr>
        <w:t>International Response Team</w:t>
      </w:r>
      <w:r w:rsidR="00432938">
        <w:t xml:space="preserve"> (to address e</w:t>
      </w:r>
      <w:r w:rsidR="00807625">
        <w:t xml:space="preserve">mergency situations). </w:t>
      </w:r>
      <w:r w:rsidR="00432938">
        <w:t xml:space="preserve"> Callaghan announced a </w:t>
      </w:r>
      <w:r w:rsidR="00432938" w:rsidRPr="00432938">
        <w:rPr>
          <w:b/>
        </w:rPr>
        <w:t>new travel registration policy</w:t>
      </w:r>
      <w:r w:rsidR="00432938">
        <w:t xml:space="preserve"> (required for all faculty traveling on behalf of the university) </w:t>
      </w:r>
      <w:r w:rsidR="00432938" w:rsidRPr="00807625">
        <w:rPr>
          <w:b/>
        </w:rPr>
        <w:t>and approval process</w:t>
      </w:r>
      <w:r w:rsidR="00432938">
        <w:t xml:space="preserve">, including a review of prospective locations for health and safety concerns. TCU </w:t>
      </w:r>
      <w:r w:rsidR="00807625">
        <w:t xml:space="preserve">now </w:t>
      </w:r>
      <w:r w:rsidR="00432938">
        <w:t xml:space="preserve">provides two new travel resources: </w:t>
      </w:r>
      <w:r w:rsidR="00432938" w:rsidRPr="00432938">
        <w:rPr>
          <w:b/>
        </w:rPr>
        <w:t>Alert Traveler</w:t>
      </w:r>
      <w:r w:rsidR="00432938">
        <w:t xml:space="preserve"> (an app) and </w:t>
      </w:r>
      <w:r w:rsidR="00432938" w:rsidRPr="00432938">
        <w:rPr>
          <w:b/>
        </w:rPr>
        <w:t>On Call</w:t>
      </w:r>
      <w:r w:rsidR="00432938">
        <w:t xml:space="preserve"> (a medical and travel assistance program).An HR training session is set for October 4</w:t>
      </w:r>
      <w:r w:rsidR="00432938" w:rsidRPr="00432938">
        <w:rPr>
          <w:vertAlign w:val="superscript"/>
        </w:rPr>
        <w:t>th</w:t>
      </w:r>
      <w:r w:rsidR="00432938">
        <w:t xml:space="preserve"> to go more in-depth on resources and policies. Key </w:t>
      </w:r>
      <w:r w:rsidR="00807625">
        <w:t>new differences:</w:t>
      </w:r>
    </w:p>
    <w:p w14:paraId="4280432D" w14:textId="77777777" w:rsidR="00432938" w:rsidRDefault="00432938" w:rsidP="00432938">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More flexible, intentional review and approval process</w:t>
      </w:r>
    </w:p>
    <w:p w14:paraId="4D9DEA17" w14:textId="77777777" w:rsidR="00432938" w:rsidRDefault="00432938" w:rsidP="00432938">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Review by International Oversight Committee (IOC)</w:t>
      </w:r>
    </w:p>
    <w:p w14:paraId="3E2A5EE7" w14:textId="313B9EAD" w:rsidR="00432938" w:rsidRDefault="00807625" w:rsidP="00432938">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Approval r</w:t>
      </w:r>
      <w:r w:rsidR="00432938">
        <w:t xml:space="preserve">equired </w:t>
      </w:r>
      <w:r w:rsidR="00432938" w:rsidRPr="00AA136B">
        <w:rPr>
          <w:u w:val="single"/>
        </w:rPr>
        <w:t>prior to</w:t>
      </w:r>
      <w:r w:rsidR="00432938">
        <w:t xml:space="preserve"> faculty commitment of TCU resources</w:t>
      </w:r>
    </w:p>
    <w:p w14:paraId="7A87A8FE" w14:textId="77777777" w:rsidR="00432938" w:rsidRDefault="00432938" w:rsidP="00432938">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Reimbursement for international travel requires registration and approval</w:t>
      </w:r>
    </w:p>
    <w:p w14:paraId="416B19C0" w14:textId="77777777" w:rsidR="00432938" w:rsidRDefault="00432938" w:rsidP="00432938">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Two step process (Approval, Travel Details)</w:t>
      </w:r>
    </w:p>
    <w:p w14:paraId="44C7AFCB" w14:textId="77777777" w:rsidR="00432938" w:rsidRPr="000A0A71" w:rsidRDefault="00432938" w:rsidP="00432938">
      <w:pPr>
        <w:ind w:left="360"/>
        <w:rPr>
          <w:b/>
        </w:rPr>
      </w:pPr>
      <w:r w:rsidRPr="000A0A71">
        <w:rPr>
          <w:b/>
        </w:rPr>
        <w:t xml:space="preserve">International Travel Policy: Receipt for reimbursement: </w:t>
      </w:r>
    </w:p>
    <w:p w14:paraId="3BAFDECE" w14:textId="77777777" w:rsidR="00432938" w:rsidRDefault="00432938" w:rsidP="00432938">
      <w:pPr>
        <w:ind w:left="360"/>
      </w:pPr>
      <w:r w:rsidRPr="000A0A71">
        <w:rPr>
          <w:u w:val="single"/>
        </w:rPr>
        <w:t>New Travel registry</w:t>
      </w:r>
      <w:r>
        <w:t>: (Step 1) Make a submission for authorized international travel; Three options after submission for authorization: approval, denial or review; goes to the IOC/Provost for review (approved, approved with conditions, denied); receipt issued, attach to reimbursement. (Step 2) Complete travel details.</w:t>
      </w:r>
    </w:p>
    <w:p w14:paraId="6503596E" w14:textId="4DD65FDE" w:rsidR="00432938" w:rsidRDefault="00432938" w:rsidP="00432938">
      <w:pPr>
        <w:ind w:left="360"/>
      </w:pPr>
      <w:r w:rsidRPr="000A0A71">
        <w:rPr>
          <w:b/>
        </w:rPr>
        <w:t>Travel Health</w:t>
      </w:r>
      <w:r>
        <w:t xml:space="preserve"> update: Dr. Jan Torgerson, with the TCU Health Clinic is now Travel Health Certified to do vaccinations/immunizations for students; study abroad pre-departure meetings, health management plans for students.</w:t>
      </w:r>
    </w:p>
    <w:p w14:paraId="4C8AAD92" w14:textId="77777777" w:rsidR="00432938" w:rsidRDefault="00432938" w:rsidP="00432938">
      <w:pPr>
        <w:ind w:left="360"/>
      </w:pPr>
      <w:r w:rsidRPr="00C626E1">
        <w:rPr>
          <w:b/>
        </w:rPr>
        <w:t>Alert Traveler App (launching October 4</w:t>
      </w:r>
      <w:r w:rsidRPr="00C626E1">
        <w:rPr>
          <w:b/>
          <w:vertAlign w:val="superscript"/>
        </w:rPr>
        <w:t>th</w:t>
      </w:r>
      <w:r w:rsidRPr="00C626E1">
        <w:rPr>
          <w:b/>
        </w:rPr>
        <w:t>)</w:t>
      </w:r>
      <w:r>
        <w:rPr>
          <w:b/>
        </w:rPr>
        <w:t xml:space="preserve"> </w:t>
      </w:r>
      <w:r>
        <w:t xml:space="preserve">will give TCU faculty and students country specific information, based on registered itinerary and GPS, TCU Emergency contact information and protocols, local emergency contact information, Push Notification on Country specific alerts, TCU communications &amp; check-ins for TCU registered travelers. </w:t>
      </w:r>
      <w:r>
        <w:lastRenderedPageBreak/>
        <w:t xml:space="preserve">Required for TCU student travelers (who must also turn on their GPS). Dependent on WiFi and data plans. If faculty don’t get the App, all the information will be sent to them by email. </w:t>
      </w:r>
    </w:p>
    <w:p w14:paraId="7F31A75B" w14:textId="00114606" w:rsidR="00432938" w:rsidRDefault="00432938" w:rsidP="00432938">
      <w:pPr>
        <w:tabs>
          <w:tab w:val="left" w:pos="360"/>
        </w:tabs>
        <w:ind w:left="360"/>
        <w:rPr>
          <w:b/>
        </w:rPr>
      </w:pPr>
      <w:r>
        <w:rPr>
          <w:b/>
        </w:rPr>
        <w:t>CIS meeting</w:t>
      </w:r>
      <w:r w:rsidR="00B60254">
        <w:rPr>
          <w:b/>
        </w:rPr>
        <w:t xml:space="preserve"> is set for </w:t>
      </w:r>
      <w:r w:rsidRPr="00167DB9">
        <w:rPr>
          <w:b/>
        </w:rPr>
        <w:t>1 p.m. on Friday, October 4</w:t>
      </w:r>
      <w:r w:rsidRPr="00167DB9">
        <w:rPr>
          <w:b/>
          <w:vertAlign w:val="superscript"/>
        </w:rPr>
        <w:t>th</w:t>
      </w:r>
      <w:r w:rsidR="00B60254">
        <w:rPr>
          <w:b/>
        </w:rPr>
        <w:t>, 2019, in Tucker 139.</w:t>
      </w:r>
    </w:p>
    <w:p w14:paraId="643F0FFD" w14:textId="51DF3993" w:rsidR="00432938" w:rsidRDefault="00432938" w:rsidP="00432938">
      <w:pPr>
        <w:pStyle w:val="ListParagraph"/>
        <w:ind w:left="360"/>
      </w:pPr>
    </w:p>
    <w:p w14:paraId="33FFCD77" w14:textId="7959B2F3" w:rsidR="00FB18BD" w:rsidRPr="00B60254" w:rsidRDefault="00B60254" w:rsidP="004D6160">
      <w:pPr>
        <w:pStyle w:val="ListParagraph"/>
        <w:numPr>
          <w:ilvl w:val="0"/>
          <w:numId w:val="2"/>
        </w:numPr>
        <w:rPr>
          <w:rFonts w:ascii="Bell MT" w:hAnsi="Bell MT"/>
          <w:bCs/>
          <w:sz w:val="22"/>
          <w:szCs w:val="22"/>
        </w:rPr>
      </w:pPr>
      <w:r w:rsidRPr="00B60254">
        <w:rPr>
          <w:b/>
        </w:rPr>
        <w:t>Next, Pam Frable, c</w:t>
      </w:r>
      <w:r>
        <w:t xml:space="preserve">hair of the </w:t>
      </w:r>
      <w:r w:rsidRPr="00B60254">
        <w:rPr>
          <w:b/>
        </w:rPr>
        <w:t>Governance Committee</w:t>
      </w:r>
      <w:r>
        <w:t>, presented a recommendation of changes in the titles for the current two Secretar</w:t>
      </w:r>
      <w:r w:rsidR="00807625">
        <w:t xml:space="preserve">ies </w:t>
      </w:r>
      <w:r>
        <w:t>for the FSEC—</w:t>
      </w:r>
      <w:r w:rsidR="00807625">
        <w:t>from “</w:t>
      </w:r>
      <w:r>
        <w:t>Secretary</w:t>
      </w:r>
      <w:r w:rsidR="00807625">
        <w:t>”</w:t>
      </w:r>
      <w:r>
        <w:t xml:space="preserve"> to </w:t>
      </w:r>
      <w:r w:rsidRPr="00B60254">
        <w:rPr>
          <w:i/>
        </w:rPr>
        <w:t>Recording Secretary</w:t>
      </w:r>
      <w:r>
        <w:t xml:space="preserve">, and </w:t>
      </w:r>
      <w:r w:rsidR="00807625">
        <w:t>from “</w:t>
      </w:r>
      <w:r>
        <w:t>Assistant Secretary</w:t>
      </w:r>
      <w:r w:rsidR="00807625">
        <w:t>”</w:t>
      </w:r>
      <w:r>
        <w:t xml:space="preserve"> to </w:t>
      </w:r>
      <w:r w:rsidRPr="00B60254">
        <w:rPr>
          <w:i/>
        </w:rPr>
        <w:t xml:space="preserve">Administrative Secretary. </w:t>
      </w:r>
      <w:r>
        <w:t>D</w:t>
      </w:r>
      <w:r w:rsidR="00292931">
        <w:t>an Williams seconded the motion, which</w:t>
      </w:r>
      <w:r>
        <w:t xml:space="preserve"> passed unanimously. </w:t>
      </w:r>
    </w:p>
    <w:p w14:paraId="7E686C05" w14:textId="77777777" w:rsidR="00B60254" w:rsidRPr="00B60254" w:rsidRDefault="00B60254" w:rsidP="00B60254">
      <w:pPr>
        <w:pStyle w:val="ListParagraph"/>
        <w:ind w:left="360"/>
        <w:rPr>
          <w:rFonts w:ascii="Bell MT" w:hAnsi="Bell MT"/>
          <w:bCs/>
          <w:sz w:val="22"/>
          <w:szCs w:val="22"/>
        </w:rPr>
      </w:pPr>
    </w:p>
    <w:p w14:paraId="3DA8AF1F" w14:textId="23E5D32D" w:rsidR="00B60254" w:rsidRDefault="00B60254" w:rsidP="00B60254">
      <w:pPr>
        <w:pStyle w:val="ListParagraph"/>
        <w:numPr>
          <w:ilvl w:val="0"/>
          <w:numId w:val="2"/>
        </w:numPr>
      </w:pPr>
      <w:r w:rsidRPr="00B60254">
        <w:rPr>
          <w:b/>
        </w:rPr>
        <w:t>Next, Michael Sawey,</w:t>
      </w:r>
      <w:r>
        <w:t xml:space="preserve"> Chair of the FS </w:t>
      </w:r>
      <w:r w:rsidRPr="00B60254">
        <w:rPr>
          <w:b/>
        </w:rPr>
        <w:t>Educational Evaluation Committee</w:t>
      </w:r>
      <w:r>
        <w:t xml:space="preserve">, addressed the group with a </w:t>
      </w:r>
      <w:r w:rsidRPr="00B60254">
        <w:rPr>
          <w:b/>
        </w:rPr>
        <w:t>resolution on appropriate use of SPOTs</w:t>
      </w:r>
      <w:r>
        <w:t>:</w:t>
      </w:r>
    </w:p>
    <w:p w14:paraId="0B530B70" w14:textId="77777777" w:rsidR="00B60254" w:rsidRPr="004B505E" w:rsidRDefault="00B60254" w:rsidP="00B60254">
      <w:pPr>
        <w:ind w:left="720"/>
      </w:pPr>
      <w:r w:rsidRPr="004B505E">
        <w:t xml:space="preserve">TCU </w:t>
      </w:r>
      <w:r>
        <w:t>is committed to Diversity, Equ</w:t>
      </w:r>
      <w:r w:rsidRPr="004B505E">
        <w:t>ity, and Inclusiveness and seeks to “promote a campus environment that is welcoming for all and free of bias.”</w:t>
      </w:r>
      <w:r w:rsidRPr="004B505E">
        <w:rPr>
          <w:vertAlign w:val="superscript"/>
        </w:rPr>
        <w:t>1</w:t>
      </w:r>
      <w:r w:rsidRPr="004B505E">
        <w:t xml:space="preserve"> Academic research, however, demonstrates that student evaluations “systematically disadvantage faculty from marginalized groups,”</w:t>
      </w:r>
      <w:r w:rsidRPr="004B505E">
        <w:rPr>
          <w:vertAlign w:val="superscript"/>
        </w:rPr>
        <w:t>2</w:t>
      </w:r>
      <w:r w:rsidRPr="004B505E">
        <w:t xml:space="preserve"> including women and minorities</w:t>
      </w:r>
      <w:r w:rsidRPr="004B505E">
        <w:rPr>
          <w:vertAlign w:val="superscript"/>
        </w:rPr>
        <w:t>3</w:t>
      </w:r>
      <w:r w:rsidRPr="004B505E">
        <w:t>, as well as being poor indicators of teaching quality</w:t>
      </w:r>
      <w:r w:rsidRPr="004B505E">
        <w:rPr>
          <w:vertAlign w:val="superscript"/>
        </w:rPr>
        <w:t>4</w:t>
      </w:r>
      <w:r w:rsidRPr="004B505E">
        <w:t>. </w:t>
      </w:r>
    </w:p>
    <w:p w14:paraId="0BEA6CA1" w14:textId="77777777" w:rsidR="00B60254" w:rsidRPr="004B505E" w:rsidRDefault="00B60254" w:rsidP="00B60254">
      <w:pPr>
        <w:ind w:left="720"/>
      </w:pPr>
      <w:r w:rsidRPr="004B505E">
        <w:t xml:space="preserve">Therefore, SPOT surveys should be used only for formative self-evaluation by the faculty member, not by departments, colleges, or the university for any summative assessment. </w:t>
      </w:r>
    </w:p>
    <w:p w14:paraId="3B562505" w14:textId="77777777" w:rsidR="00B60254" w:rsidRDefault="00B60254" w:rsidP="00B60254">
      <w:pPr>
        <w:ind w:left="720"/>
      </w:pPr>
      <w:r w:rsidRPr="004B505E">
        <w:t>In particular, SPOT data should not be considered when evaluating faculty for annual review, tenure, promotion, or merit-based salary increases.</w:t>
      </w:r>
    </w:p>
    <w:p w14:paraId="72D7040F" w14:textId="46DFBF80" w:rsidR="00B60254" w:rsidRDefault="00B60254" w:rsidP="00B60254">
      <w:pPr>
        <w:ind w:left="360"/>
      </w:pPr>
      <w:r>
        <w:t>His committee is not recommending that SPOTs be banned or not allowed</w:t>
      </w:r>
      <w:r w:rsidR="00FD090A">
        <w:t xml:space="preserve">, as they can help </w:t>
      </w:r>
      <w:r>
        <w:t>faculty to improve their teaching, but</w:t>
      </w:r>
      <w:r w:rsidR="00FD090A">
        <w:t xml:space="preserve"> they</w:t>
      </w:r>
      <w:r>
        <w:t xml:space="preserve"> can also be vulnerable to misuse by </w:t>
      </w:r>
      <w:r w:rsidR="00FD090A">
        <w:t>persons</w:t>
      </w:r>
      <w:r>
        <w:t xml:space="preserve"> taking the information out of context. Lots of questions and concerns followed his call for response. After many comments helpful to a revised recommendation, Sawey withdrew the current resolution without a vote. He asked for persons with specific comments and concerns regarding SPOTs to please send them to him so his committee can revise and resubmit the resolution at the next meeting.</w:t>
      </w:r>
    </w:p>
    <w:p w14:paraId="36CD9670" w14:textId="77777777" w:rsidR="00FB18BD" w:rsidRPr="00281408" w:rsidRDefault="00FB18BD" w:rsidP="00FB18BD">
      <w:pPr>
        <w:rPr>
          <w:sz w:val="22"/>
          <w:szCs w:val="22"/>
        </w:rPr>
      </w:pPr>
    </w:p>
    <w:p w14:paraId="3FE4CE5F" w14:textId="217F4D72" w:rsidR="00B60254" w:rsidRDefault="00EF4176" w:rsidP="00B60254">
      <w:pPr>
        <w:pStyle w:val="ListParagraph"/>
        <w:numPr>
          <w:ilvl w:val="0"/>
          <w:numId w:val="2"/>
        </w:numPr>
      </w:pPr>
      <w:r w:rsidRPr="00B60254">
        <w:rPr>
          <w:b/>
        </w:rPr>
        <w:t>Chair Clark Jones</w:t>
      </w:r>
      <w:r>
        <w:t xml:space="preserve"> </w:t>
      </w:r>
      <w:r w:rsidR="00B60254">
        <w:t>presided over a wide-ranging</w:t>
      </w:r>
      <w:r w:rsidR="00F02E27">
        <w:t xml:space="preserve"> open discussion</w:t>
      </w:r>
      <w:r w:rsidR="00B60254">
        <w:t xml:space="preserve">. </w:t>
      </w:r>
      <w:r w:rsidR="00B60254" w:rsidRPr="00B60254">
        <w:rPr>
          <w:b/>
        </w:rPr>
        <w:t>Ted Legatski</w:t>
      </w:r>
      <w:r w:rsidR="00B60254">
        <w:t xml:space="preserve"> announced that </w:t>
      </w:r>
      <w:r w:rsidR="00B60254" w:rsidRPr="00B60254">
        <w:rPr>
          <w:b/>
        </w:rPr>
        <w:t>UCAC</w:t>
      </w:r>
      <w:r w:rsidR="00B60254">
        <w:t xml:space="preserve"> will bring a report to the November Senate meeting. </w:t>
      </w:r>
      <w:r w:rsidR="00B60254" w:rsidRPr="00B60254">
        <w:rPr>
          <w:b/>
        </w:rPr>
        <w:t xml:space="preserve">Amy Stewart </w:t>
      </w:r>
      <w:r w:rsidR="00B60254">
        <w:t xml:space="preserve">new </w:t>
      </w:r>
      <w:r w:rsidR="00B60254" w:rsidRPr="00B60254">
        <w:rPr>
          <w:b/>
        </w:rPr>
        <w:t>rules curtailing early voting in Tarrant County</w:t>
      </w:r>
      <w:r w:rsidR="00B60254">
        <w:t xml:space="preserve"> with early voting at college campuses to be diminished from 5 colleges to 1. Clark Jones reminded the Senate that benefits </w:t>
      </w:r>
      <w:r w:rsidR="00B60254" w:rsidRPr="00B60254">
        <w:rPr>
          <w:b/>
        </w:rPr>
        <w:t>Open Enrollment</w:t>
      </w:r>
      <w:r w:rsidR="00B60254">
        <w:t xml:space="preserve"> begins on October 28</w:t>
      </w:r>
      <w:r w:rsidR="00B60254" w:rsidRPr="00B60254">
        <w:rPr>
          <w:vertAlign w:val="superscript"/>
        </w:rPr>
        <w:t>th</w:t>
      </w:r>
      <w:r w:rsidR="00B60254">
        <w:t xml:space="preserve"> and continues until November 8</w:t>
      </w:r>
      <w:r w:rsidR="00B60254" w:rsidRPr="00B60254">
        <w:rPr>
          <w:vertAlign w:val="superscript"/>
        </w:rPr>
        <w:t>th</w:t>
      </w:r>
      <w:r w:rsidR="00B60254">
        <w:t>. Current benefit elections will not carry over. Everyone needs to renew their enrollment options.</w:t>
      </w:r>
    </w:p>
    <w:p w14:paraId="6EF5F40C" w14:textId="77777777" w:rsidR="00B60254" w:rsidRDefault="00B60254" w:rsidP="00B60254"/>
    <w:p w14:paraId="47CDECCD" w14:textId="77777777" w:rsidR="00B60254" w:rsidRPr="00167DB9" w:rsidRDefault="00B60254" w:rsidP="00B60254">
      <w:r>
        <w:t>The meeting was adjourned at 4:56.</w:t>
      </w:r>
    </w:p>
    <w:p w14:paraId="329488AC" w14:textId="0025A984" w:rsidR="00EF4176" w:rsidRDefault="00EF4176" w:rsidP="00B60254"/>
    <w:p w14:paraId="171FFE77" w14:textId="40DFB25D" w:rsidR="00EF4176" w:rsidRDefault="00EF4176" w:rsidP="00EF4176">
      <w:r>
        <w:t>Respectfully submitted,</w:t>
      </w:r>
    </w:p>
    <w:p w14:paraId="60CA81B6" w14:textId="53DEFA7C" w:rsidR="00EF4176" w:rsidRDefault="00EF4176" w:rsidP="00EF4176"/>
    <w:p w14:paraId="4171C830" w14:textId="100865FB" w:rsidR="00EF4176" w:rsidRDefault="00EF4176" w:rsidP="00EF4176">
      <w:r>
        <w:t xml:space="preserve">Jan Quesada, </w:t>
      </w:r>
      <w:r w:rsidR="00377CE7">
        <w:t xml:space="preserve">Recording </w:t>
      </w:r>
      <w:r>
        <w:t>Secretary</w:t>
      </w:r>
    </w:p>
    <w:p w14:paraId="4519B2AD" w14:textId="77777777" w:rsidR="00EF4176" w:rsidRDefault="00EF4176" w:rsidP="00EF4176">
      <w:r>
        <w:t>TCU Faculty Senate</w:t>
      </w:r>
    </w:p>
    <w:p w14:paraId="27A30B7B" w14:textId="3465B916" w:rsidR="00EF4176" w:rsidRDefault="00EF4176" w:rsidP="00EF4176"/>
    <w:p w14:paraId="24AC3323" w14:textId="34CF16A6" w:rsidR="009B2669" w:rsidRDefault="009B2669" w:rsidP="00AF3F2E"/>
    <w:sectPr w:rsidR="009B266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0D531" w14:textId="77777777" w:rsidR="005263D2" w:rsidRDefault="005263D2">
      <w:r>
        <w:separator/>
      </w:r>
    </w:p>
  </w:endnote>
  <w:endnote w:type="continuationSeparator" w:id="0">
    <w:p w14:paraId="3C985FF0" w14:textId="77777777" w:rsidR="005263D2" w:rsidRDefault="0052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70EC4" w14:textId="77777777" w:rsidR="005263D2" w:rsidRDefault="005263D2">
      <w:r>
        <w:separator/>
      </w:r>
    </w:p>
  </w:footnote>
  <w:footnote w:type="continuationSeparator" w:id="0">
    <w:p w14:paraId="7E775C70" w14:textId="77777777" w:rsidR="005263D2" w:rsidRDefault="00526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849"/>
    <w:multiLevelType w:val="hybridMultilevel"/>
    <w:tmpl w:val="2B0E0316"/>
    <w:styleLink w:val="ImportedStyle1"/>
    <w:lvl w:ilvl="0" w:tplc="CA304D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487168">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58427C">
      <w:start w:val="1"/>
      <w:numFmt w:val="lowerRoman"/>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501ED2">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388E8E">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8E6AEE">
      <w:start w:val="1"/>
      <w:numFmt w:val="lowerRoman"/>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2E8FDC">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AAA5BA">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F4BA14">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63249E3"/>
    <w:multiLevelType w:val="hybridMultilevel"/>
    <w:tmpl w:val="2B0E0316"/>
    <w:numStyleLink w:val="ImportedStyle1"/>
  </w:abstractNum>
  <w:abstractNum w:abstractNumId="2" w15:restartNumberingAfterBreak="0">
    <w:nsid w:val="3A602739"/>
    <w:multiLevelType w:val="hybridMultilevel"/>
    <w:tmpl w:val="C292CD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471160"/>
    <w:multiLevelType w:val="hybridMultilevel"/>
    <w:tmpl w:val="9F66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856D9"/>
    <w:multiLevelType w:val="hybridMultilevel"/>
    <w:tmpl w:val="00CA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tplc="90CA0118">
        <w:start w:val="1"/>
        <w:numFmt w:val="decimal"/>
        <w:lvlText w:val="%1."/>
        <w:lvlJc w:val="left"/>
        <w:pPr>
          <w:ind w:left="360" w:hanging="360"/>
        </w:pPr>
        <w:rPr>
          <w:rFonts w:ascii="Times New Roman" w:hAnsi="Times New Roman" w:cs="Times New Roman" w:hint="default"/>
          <w:b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F86CEA8A">
        <w:start w:val="1"/>
        <w:numFmt w:val="decimal"/>
        <w:lvlText w:val="%4."/>
        <w:lvlJc w:val="left"/>
        <w:pPr>
          <w:ind w:left="360" w:hanging="360"/>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FC"/>
    <w:rsid w:val="00002EB4"/>
    <w:rsid w:val="00005412"/>
    <w:rsid w:val="00016F1A"/>
    <w:rsid w:val="00020151"/>
    <w:rsid w:val="00023C90"/>
    <w:rsid w:val="000274E8"/>
    <w:rsid w:val="00040BDC"/>
    <w:rsid w:val="00087BF8"/>
    <w:rsid w:val="00090E01"/>
    <w:rsid w:val="000A6520"/>
    <w:rsid w:val="000A7028"/>
    <w:rsid w:val="000B2096"/>
    <w:rsid w:val="000E1B39"/>
    <w:rsid w:val="000E3AF7"/>
    <w:rsid w:val="0011693B"/>
    <w:rsid w:val="00134475"/>
    <w:rsid w:val="00157137"/>
    <w:rsid w:val="00160607"/>
    <w:rsid w:val="00164FA6"/>
    <w:rsid w:val="001720B6"/>
    <w:rsid w:val="001773FC"/>
    <w:rsid w:val="00196279"/>
    <w:rsid w:val="00197F1B"/>
    <w:rsid w:val="001A47E8"/>
    <w:rsid w:val="001B29EB"/>
    <w:rsid w:val="001B6E48"/>
    <w:rsid w:val="001C294E"/>
    <w:rsid w:val="001F6C30"/>
    <w:rsid w:val="002061C2"/>
    <w:rsid w:val="00206C03"/>
    <w:rsid w:val="00211503"/>
    <w:rsid w:val="002121C7"/>
    <w:rsid w:val="00241F87"/>
    <w:rsid w:val="00281408"/>
    <w:rsid w:val="00292931"/>
    <w:rsid w:val="002939EA"/>
    <w:rsid w:val="002A6807"/>
    <w:rsid w:val="002C3CCB"/>
    <w:rsid w:val="002D6AB0"/>
    <w:rsid w:val="002E12A7"/>
    <w:rsid w:val="002E4915"/>
    <w:rsid w:val="002E548D"/>
    <w:rsid w:val="002F2427"/>
    <w:rsid w:val="003028AD"/>
    <w:rsid w:val="003076F1"/>
    <w:rsid w:val="003146E8"/>
    <w:rsid w:val="0031480B"/>
    <w:rsid w:val="00331BA8"/>
    <w:rsid w:val="003346D6"/>
    <w:rsid w:val="003371A5"/>
    <w:rsid w:val="003546CA"/>
    <w:rsid w:val="003568B3"/>
    <w:rsid w:val="003651DA"/>
    <w:rsid w:val="00377CE7"/>
    <w:rsid w:val="00382354"/>
    <w:rsid w:val="003953B0"/>
    <w:rsid w:val="003A1478"/>
    <w:rsid w:val="003B020E"/>
    <w:rsid w:val="003B1DDE"/>
    <w:rsid w:val="003B662F"/>
    <w:rsid w:val="003B6BE8"/>
    <w:rsid w:val="003D07AF"/>
    <w:rsid w:val="003D2FD5"/>
    <w:rsid w:val="003D36D0"/>
    <w:rsid w:val="003D6636"/>
    <w:rsid w:val="003E194A"/>
    <w:rsid w:val="003E7925"/>
    <w:rsid w:val="003F51A2"/>
    <w:rsid w:val="004013A3"/>
    <w:rsid w:val="004017F4"/>
    <w:rsid w:val="004045C8"/>
    <w:rsid w:val="00407789"/>
    <w:rsid w:val="00412C46"/>
    <w:rsid w:val="0041638A"/>
    <w:rsid w:val="00423172"/>
    <w:rsid w:val="00432938"/>
    <w:rsid w:val="00436637"/>
    <w:rsid w:val="00450A02"/>
    <w:rsid w:val="00454848"/>
    <w:rsid w:val="004728BC"/>
    <w:rsid w:val="00474DC0"/>
    <w:rsid w:val="00492779"/>
    <w:rsid w:val="00493F5A"/>
    <w:rsid w:val="004A42FC"/>
    <w:rsid w:val="004B3392"/>
    <w:rsid w:val="004B4734"/>
    <w:rsid w:val="004C62A2"/>
    <w:rsid w:val="004D3E24"/>
    <w:rsid w:val="004D4A2D"/>
    <w:rsid w:val="004D572C"/>
    <w:rsid w:val="004E3144"/>
    <w:rsid w:val="004F78C8"/>
    <w:rsid w:val="005019F4"/>
    <w:rsid w:val="005263D2"/>
    <w:rsid w:val="00553DE5"/>
    <w:rsid w:val="0055463C"/>
    <w:rsid w:val="00570F86"/>
    <w:rsid w:val="0057139E"/>
    <w:rsid w:val="00591BA0"/>
    <w:rsid w:val="005B01E6"/>
    <w:rsid w:val="005B070C"/>
    <w:rsid w:val="005D28BA"/>
    <w:rsid w:val="005D5AE9"/>
    <w:rsid w:val="005F2EBB"/>
    <w:rsid w:val="00600B75"/>
    <w:rsid w:val="00623B9B"/>
    <w:rsid w:val="0063110A"/>
    <w:rsid w:val="0063204F"/>
    <w:rsid w:val="00644249"/>
    <w:rsid w:val="00676478"/>
    <w:rsid w:val="00677AF9"/>
    <w:rsid w:val="00681E4C"/>
    <w:rsid w:val="00683BBC"/>
    <w:rsid w:val="00691337"/>
    <w:rsid w:val="006A6EC2"/>
    <w:rsid w:val="006C41CA"/>
    <w:rsid w:val="006D6A4E"/>
    <w:rsid w:val="006D7CAE"/>
    <w:rsid w:val="006E0FF4"/>
    <w:rsid w:val="006F65A4"/>
    <w:rsid w:val="006F7861"/>
    <w:rsid w:val="00706443"/>
    <w:rsid w:val="0071206F"/>
    <w:rsid w:val="00731F8E"/>
    <w:rsid w:val="00732411"/>
    <w:rsid w:val="00747337"/>
    <w:rsid w:val="0076462C"/>
    <w:rsid w:val="00765A79"/>
    <w:rsid w:val="007718CD"/>
    <w:rsid w:val="007748D2"/>
    <w:rsid w:val="00787BD2"/>
    <w:rsid w:val="00790F94"/>
    <w:rsid w:val="00797339"/>
    <w:rsid w:val="007A1147"/>
    <w:rsid w:val="007A1708"/>
    <w:rsid w:val="007A2BCA"/>
    <w:rsid w:val="007E692B"/>
    <w:rsid w:val="007F6746"/>
    <w:rsid w:val="0080164E"/>
    <w:rsid w:val="00802B43"/>
    <w:rsid w:val="00806756"/>
    <w:rsid w:val="00807625"/>
    <w:rsid w:val="00814A6C"/>
    <w:rsid w:val="00830E19"/>
    <w:rsid w:val="00832AA1"/>
    <w:rsid w:val="00851016"/>
    <w:rsid w:val="00855E2C"/>
    <w:rsid w:val="00857BD8"/>
    <w:rsid w:val="008A2618"/>
    <w:rsid w:val="008B0B31"/>
    <w:rsid w:val="008B1592"/>
    <w:rsid w:val="008C06B9"/>
    <w:rsid w:val="008D0E82"/>
    <w:rsid w:val="008D233D"/>
    <w:rsid w:val="008D26E2"/>
    <w:rsid w:val="00902AFB"/>
    <w:rsid w:val="00902D4A"/>
    <w:rsid w:val="00911E87"/>
    <w:rsid w:val="00920955"/>
    <w:rsid w:val="00930E3E"/>
    <w:rsid w:val="00936040"/>
    <w:rsid w:val="00954074"/>
    <w:rsid w:val="00962B7B"/>
    <w:rsid w:val="00963587"/>
    <w:rsid w:val="00993378"/>
    <w:rsid w:val="009A7070"/>
    <w:rsid w:val="009B0F97"/>
    <w:rsid w:val="009B178A"/>
    <w:rsid w:val="009B2669"/>
    <w:rsid w:val="009C7724"/>
    <w:rsid w:val="009F096E"/>
    <w:rsid w:val="00A02E07"/>
    <w:rsid w:val="00A042AB"/>
    <w:rsid w:val="00A1060E"/>
    <w:rsid w:val="00A146A6"/>
    <w:rsid w:val="00A14FBD"/>
    <w:rsid w:val="00A1788C"/>
    <w:rsid w:val="00A256BB"/>
    <w:rsid w:val="00A3004E"/>
    <w:rsid w:val="00A31896"/>
    <w:rsid w:val="00A43C43"/>
    <w:rsid w:val="00A479B9"/>
    <w:rsid w:val="00A51707"/>
    <w:rsid w:val="00A52C47"/>
    <w:rsid w:val="00A54E9B"/>
    <w:rsid w:val="00A60C68"/>
    <w:rsid w:val="00A6496E"/>
    <w:rsid w:val="00A87937"/>
    <w:rsid w:val="00A901FB"/>
    <w:rsid w:val="00AB0787"/>
    <w:rsid w:val="00AC142F"/>
    <w:rsid w:val="00AC506A"/>
    <w:rsid w:val="00AF0CBE"/>
    <w:rsid w:val="00AF3F2E"/>
    <w:rsid w:val="00B244AF"/>
    <w:rsid w:val="00B2798B"/>
    <w:rsid w:val="00B27E1C"/>
    <w:rsid w:val="00B46327"/>
    <w:rsid w:val="00B46530"/>
    <w:rsid w:val="00B466C3"/>
    <w:rsid w:val="00B479B8"/>
    <w:rsid w:val="00B60254"/>
    <w:rsid w:val="00B76D33"/>
    <w:rsid w:val="00B83545"/>
    <w:rsid w:val="00B86C32"/>
    <w:rsid w:val="00BB6ABB"/>
    <w:rsid w:val="00BC29B3"/>
    <w:rsid w:val="00BC62A2"/>
    <w:rsid w:val="00BD443D"/>
    <w:rsid w:val="00BD62FD"/>
    <w:rsid w:val="00BE4D89"/>
    <w:rsid w:val="00BF0F26"/>
    <w:rsid w:val="00C01F65"/>
    <w:rsid w:val="00C12E75"/>
    <w:rsid w:val="00C35B6D"/>
    <w:rsid w:val="00C401CC"/>
    <w:rsid w:val="00C41E89"/>
    <w:rsid w:val="00C52092"/>
    <w:rsid w:val="00C569F4"/>
    <w:rsid w:val="00C941B9"/>
    <w:rsid w:val="00CA637C"/>
    <w:rsid w:val="00CB4E31"/>
    <w:rsid w:val="00CC2342"/>
    <w:rsid w:val="00CC5B88"/>
    <w:rsid w:val="00CE0B89"/>
    <w:rsid w:val="00CE78E7"/>
    <w:rsid w:val="00CF2EC5"/>
    <w:rsid w:val="00CF637F"/>
    <w:rsid w:val="00D00F46"/>
    <w:rsid w:val="00D06678"/>
    <w:rsid w:val="00D168B4"/>
    <w:rsid w:val="00D22188"/>
    <w:rsid w:val="00D2634F"/>
    <w:rsid w:val="00D5260D"/>
    <w:rsid w:val="00D572FE"/>
    <w:rsid w:val="00D70881"/>
    <w:rsid w:val="00D72137"/>
    <w:rsid w:val="00D75507"/>
    <w:rsid w:val="00D80A52"/>
    <w:rsid w:val="00D87940"/>
    <w:rsid w:val="00D92E66"/>
    <w:rsid w:val="00DB6358"/>
    <w:rsid w:val="00DD4FE6"/>
    <w:rsid w:val="00DD606B"/>
    <w:rsid w:val="00DD6C18"/>
    <w:rsid w:val="00DD7BA5"/>
    <w:rsid w:val="00DE16B0"/>
    <w:rsid w:val="00E054A1"/>
    <w:rsid w:val="00E10C3A"/>
    <w:rsid w:val="00E212D9"/>
    <w:rsid w:val="00E214C4"/>
    <w:rsid w:val="00E36900"/>
    <w:rsid w:val="00E36CB4"/>
    <w:rsid w:val="00E44307"/>
    <w:rsid w:val="00E57894"/>
    <w:rsid w:val="00E64F9A"/>
    <w:rsid w:val="00E74F14"/>
    <w:rsid w:val="00E756E1"/>
    <w:rsid w:val="00E75C96"/>
    <w:rsid w:val="00E94C9D"/>
    <w:rsid w:val="00EB01B5"/>
    <w:rsid w:val="00EB0340"/>
    <w:rsid w:val="00EB1952"/>
    <w:rsid w:val="00EC0542"/>
    <w:rsid w:val="00EC7A1C"/>
    <w:rsid w:val="00ED2524"/>
    <w:rsid w:val="00EE07A0"/>
    <w:rsid w:val="00EF24CB"/>
    <w:rsid w:val="00EF4176"/>
    <w:rsid w:val="00EF79FA"/>
    <w:rsid w:val="00F02E27"/>
    <w:rsid w:val="00F228AB"/>
    <w:rsid w:val="00F2565F"/>
    <w:rsid w:val="00F2577D"/>
    <w:rsid w:val="00F25FB4"/>
    <w:rsid w:val="00F263F5"/>
    <w:rsid w:val="00F62B6F"/>
    <w:rsid w:val="00F64221"/>
    <w:rsid w:val="00F779A6"/>
    <w:rsid w:val="00F812C6"/>
    <w:rsid w:val="00FB18BD"/>
    <w:rsid w:val="00FB6023"/>
    <w:rsid w:val="00FB6B0F"/>
    <w:rsid w:val="00FD090A"/>
    <w:rsid w:val="00FE1FCC"/>
    <w:rsid w:val="00FE595B"/>
    <w:rsid w:val="00FE61ED"/>
    <w:rsid w:val="00FF6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F7D4D"/>
  <w15:docId w15:val="{DF60645A-98EC-4CEE-BD3C-84F64771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outlineLvl w:val="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currenthithighlight">
    <w:name w:val="currenthithighlight"/>
    <w:basedOn w:val="DefaultParagraphFont"/>
    <w:rsid w:val="00732411"/>
  </w:style>
  <w:style w:type="paragraph" w:styleId="ListParagraph">
    <w:name w:val="List Paragraph"/>
    <w:basedOn w:val="Normal"/>
    <w:uiPriority w:val="34"/>
    <w:qFormat/>
    <w:rsid w:val="00732411"/>
    <w:pPr>
      <w:ind w:left="720"/>
      <w:contextualSpacing/>
    </w:pPr>
  </w:style>
  <w:style w:type="paragraph" w:styleId="BalloonText">
    <w:name w:val="Balloon Text"/>
    <w:basedOn w:val="Normal"/>
    <w:link w:val="BalloonTextChar"/>
    <w:uiPriority w:val="99"/>
    <w:semiHidden/>
    <w:unhideWhenUsed/>
    <w:rsid w:val="00F62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B6F"/>
    <w:rPr>
      <w:rFonts w:ascii="Segoe UI" w:hAnsi="Segoe UI" w:cs="Segoe UI"/>
      <w:color w:val="000000"/>
      <w:sz w:val="18"/>
      <w:szCs w:val="18"/>
      <w:u w:color="000000"/>
    </w:rPr>
  </w:style>
  <w:style w:type="paragraph" w:styleId="Footer">
    <w:name w:val="footer"/>
    <w:basedOn w:val="Normal"/>
    <w:link w:val="FooterChar"/>
    <w:uiPriority w:val="99"/>
    <w:unhideWhenUsed/>
    <w:rsid w:val="00DB635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color w:val="auto"/>
      <w:sz w:val="22"/>
      <w:szCs w:val="22"/>
      <w:bdr w:val="none" w:sz="0" w:space="0" w:color="auto"/>
    </w:rPr>
  </w:style>
  <w:style w:type="character" w:customStyle="1" w:styleId="FooterChar">
    <w:name w:val="Footer Char"/>
    <w:basedOn w:val="DefaultParagraphFont"/>
    <w:link w:val="Footer"/>
    <w:uiPriority w:val="99"/>
    <w:rsid w:val="00DB6358"/>
    <w:rPr>
      <w:rFonts w:asciiTheme="minorHAnsi" w:eastAsiaTheme="minorHAnsi" w:hAnsiTheme="minorHAnsi" w:cstheme="minorBidi"/>
      <w:sz w:val="22"/>
      <w:szCs w:val="22"/>
      <w:bdr w:val="none" w:sz="0" w:space="0" w:color="auto"/>
    </w:rPr>
  </w:style>
  <w:style w:type="character" w:styleId="Emphasis">
    <w:name w:val="Emphasis"/>
    <w:basedOn w:val="DefaultParagraphFont"/>
    <w:uiPriority w:val="20"/>
    <w:qFormat/>
    <w:rsid w:val="00BE4D89"/>
    <w:rPr>
      <w:i/>
      <w:iCs/>
    </w:rPr>
  </w:style>
  <w:style w:type="paragraph" w:styleId="NormalWeb">
    <w:name w:val="Normal (Web)"/>
    <w:basedOn w:val="Normal"/>
    <w:uiPriority w:val="99"/>
    <w:semiHidden/>
    <w:unhideWhenUsed/>
    <w:rsid w:val="006F78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p1">
    <w:name w:val="p1"/>
    <w:basedOn w:val="Normal"/>
    <w:rsid w:val="00157137"/>
    <w:pPr>
      <w:pBdr>
        <w:top w:val="none" w:sz="0" w:space="0" w:color="auto"/>
        <w:left w:val="none" w:sz="0" w:space="0" w:color="auto"/>
        <w:bottom w:val="none" w:sz="0" w:space="0" w:color="auto"/>
        <w:right w:val="none" w:sz="0" w:space="0" w:color="auto"/>
        <w:between w:val="none" w:sz="0" w:space="0" w:color="auto"/>
        <w:bar w:val="none" w:sz="0" w:color="auto"/>
      </w:pBdr>
    </w:pPr>
    <w:rPr>
      <w:rFonts w:ascii=".SF UI Text" w:eastAsiaTheme="minorHAnsi" w:hAnsi=".SF UI Text" w:cs="Times New Roman"/>
      <w:color w:val="454545"/>
      <w:sz w:val="26"/>
      <w:szCs w:val="26"/>
      <w:bdr w:val="none" w:sz="0" w:space="0" w:color="auto"/>
    </w:rPr>
  </w:style>
  <w:style w:type="character" w:customStyle="1" w:styleId="s1">
    <w:name w:val="s1"/>
    <w:basedOn w:val="DefaultParagraphFont"/>
    <w:rsid w:val="00157137"/>
    <w:rPr>
      <w:rFonts w:ascii=".SFUIText" w:hAnsi=".SFUIText"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91576">
      <w:bodyDiv w:val="1"/>
      <w:marLeft w:val="0"/>
      <w:marRight w:val="0"/>
      <w:marTop w:val="0"/>
      <w:marBottom w:val="0"/>
      <w:divBdr>
        <w:top w:val="none" w:sz="0" w:space="0" w:color="auto"/>
        <w:left w:val="none" w:sz="0" w:space="0" w:color="auto"/>
        <w:bottom w:val="none" w:sz="0" w:space="0" w:color="auto"/>
        <w:right w:val="none" w:sz="0" w:space="0" w:color="auto"/>
      </w:divBdr>
    </w:div>
    <w:div w:id="1057506681">
      <w:bodyDiv w:val="1"/>
      <w:marLeft w:val="0"/>
      <w:marRight w:val="0"/>
      <w:marTop w:val="0"/>
      <w:marBottom w:val="0"/>
      <w:divBdr>
        <w:top w:val="none" w:sz="0" w:space="0" w:color="auto"/>
        <w:left w:val="none" w:sz="0" w:space="0" w:color="auto"/>
        <w:bottom w:val="none" w:sz="0" w:space="0" w:color="auto"/>
        <w:right w:val="none" w:sz="0" w:space="0" w:color="auto"/>
      </w:divBdr>
    </w:div>
    <w:div w:id="1524050726">
      <w:bodyDiv w:val="1"/>
      <w:marLeft w:val="0"/>
      <w:marRight w:val="0"/>
      <w:marTop w:val="0"/>
      <w:marBottom w:val="0"/>
      <w:divBdr>
        <w:top w:val="none" w:sz="0" w:space="0" w:color="auto"/>
        <w:left w:val="none" w:sz="0" w:space="0" w:color="auto"/>
        <w:bottom w:val="none" w:sz="0" w:space="0" w:color="auto"/>
        <w:right w:val="none" w:sz="0" w:space="0" w:color="auto"/>
      </w:divBdr>
      <w:divsChild>
        <w:div w:id="1980261870">
          <w:marLeft w:val="720"/>
          <w:marRight w:val="0"/>
          <w:marTop w:val="0"/>
          <w:marBottom w:val="0"/>
          <w:divBdr>
            <w:top w:val="none" w:sz="0" w:space="0" w:color="auto"/>
            <w:left w:val="none" w:sz="0" w:space="0" w:color="auto"/>
            <w:bottom w:val="none" w:sz="0" w:space="0" w:color="auto"/>
            <w:right w:val="none" w:sz="0" w:space="0" w:color="auto"/>
          </w:divBdr>
        </w:div>
        <w:div w:id="86460266">
          <w:marLeft w:val="720"/>
          <w:marRight w:val="0"/>
          <w:marTop w:val="0"/>
          <w:marBottom w:val="0"/>
          <w:divBdr>
            <w:top w:val="none" w:sz="0" w:space="0" w:color="auto"/>
            <w:left w:val="none" w:sz="0" w:space="0" w:color="auto"/>
            <w:bottom w:val="none" w:sz="0" w:space="0" w:color="auto"/>
            <w:right w:val="none" w:sz="0" w:space="0" w:color="auto"/>
          </w:divBdr>
        </w:div>
        <w:div w:id="1177844100">
          <w:marLeft w:val="720"/>
          <w:marRight w:val="0"/>
          <w:marTop w:val="0"/>
          <w:marBottom w:val="0"/>
          <w:divBdr>
            <w:top w:val="none" w:sz="0" w:space="0" w:color="auto"/>
            <w:left w:val="none" w:sz="0" w:space="0" w:color="auto"/>
            <w:bottom w:val="none" w:sz="0" w:space="0" w:color="auto"/>
            <w:right w:val="none" w:sz="0" w:space="0" w:color="auto"/>
          </w:divBdr>
        </w:div>
        <w:div w:id="2086146229">
          <w:marLeft w:val="720"/>
          <w:marRight w:val="0"/>
          <w:marTop w:val="0"/>
          <w:marBottom w:val="0"/>
          <w:divBdr>
            <w:top w:val="none" w:sz="0" w:space="0" w:color="auto"/>
            <w:left w:val="none" w:sz="0" w:space="0" w:color="auto"/>
            <w:bottom w:val="none" w:sz="0" w:space="0" w:color="auto"/>
            <w:right w:val="none" w:sz="0" w:space="0" w:color="auto"/>
          </w:divBdr>
        </w:div>
        <w:div w:id="234898202">
          <w:marLeft w:val="720"/>
          <w:marRight w:val="0"/>
          <w:marTop w:val="0"/>
          <w:marBottom w:val="0"/>
          <w:divBdr>
            <w:top w:val="none" w:sz="0" w:space="0" w:color="auto"/>
            <w:left w:val="none" w:sz="0" w:space="0" w:color="auto"/>
            <w:bottom w:val="none" w:sz="0" w:space="0" w:color="auto"/>
            <w:right w:val="none" w:sz="0" w:space="0" w:color="auto"/>
          </w:divBdr>
        </w:div>
        <w:div w:id="1427076588">
          <w:marLeft w:val="720"/>
          <w:marRight w:val="0"/>
          <w:marTop w:val="0"/>
          <w:marBottom w:val="0"/>
          <w:divBdr>
            <w:top w:val="none" w:sz="0" w:space="0" w:color="auto"/>
            <w:left w:val="none" w:sz="0" w:space="0" w:color="auto"/>
            <w:bottom w:val="none" w:sz="0" w:space="0" w:color="auto"/>
            <w:right w:val="none" w:sz="0" w:space="0" w:color="auto"/>
          </w:divBdr>
        </w:div>
        <w:div w:id="381906092">
          <w:marLeft w:val="720"/>
          <w:marRight w:val="0"/>
          <w:marTop w:val="0"/>
          <w:marBottom w:val="0"/>
          <w:divBdr>
            <w:top w:val="none" w:sz="0" w:space="0" w:color="auto"/>
            <w:left w:val="none" w:sz="0" w:space="0" w:color="auto"/>
            <w:bottom w:val="none" w:sz="0" w:space="0" w:color="auto"/>
            <w:right w:val="none" w:sz="0" w:space="0" w:color="auto"/>
          </w:divBdr>
        </w:div>
        <w:div w:id="801122389">
          <w:marLeft w:val="720"/>
          <w:marRight w:val="0"/>
          <w:marTop w:val="0"/>
          <w:marBottom w:val="0"/>
          <w:divBdr>
            <w:top w:val="none" w:sz="0" w:space="0" w:color="auto"/>
            <w:left w:val="none" w:sz="0" w:space="0" w:color="auto"/>
            <w:bottom w:val="none" w:sz="0" w:space="0" w:color="auto"/>
            <w:right w:val="none" w:sz="0" w:space="0" w:color="auto"/>
          </w:divBdr>
        </w:div>
        <w:div w:id="1325544759">
          <w:marLeft w:val="720"/>
          <w:marRight w:val="0"/>
          <w:marTop w:val="0"/>
          <w:marBottom w:val="0"/>
          <w:divBdr>
            <w:top w:val="none" w:sz="0" w:space="0" w:color="auto"/>
            <w:left w:val="none" w:sz="0" w:space="0" w:color="auto"/>
            <w:bottom w:val="none" w:sz="0" w:space="0" w:color="auto"/>
            <w:right w:val="none" w:sz="0" w:space="0" w:color="auto"/>
          </w:divBdr>
        </w:div>
        <w:div w:id="153684027">
          <w:marLeft w:val="720"/>
          <w:marRight w:val="0"/>
          <w:marTop w:val="0"/>
          <w:marBottom w:val="0"/>
          <w:divBdr>
            <w:top w:val="none" w:sz="0" w:space="0" w:color="auto"/>
            <w:left w:val="none" w:sz="0" w:space="0" w:color="auto"/>
            <w:bottom w:val="none" w:sz="0" w:space="0" w:color="auto"/>
            <w:right w:val="none" w:sz="0" w:space="0" w:color="auto"/>
          </w:divBdr>
        </w:div>
        <w:div w:id="1462575722">
          <w:marLeft w:val="720"/>
          <w:marRight w:val="0"/>
          <w:marTop w:val="0"/>
          <w:marBottom w:val="0"/>
          <w:divBdr>
            <w:top w:val="none" w:sz="0" w:space="0" w:color="auto"/>
            <w:left w:val="none" w:sz="0" w:space="0" w:color="auto"/>
            <w:bottom w:val="none" w:sz="0" w:space="0" w:color="auto"/>
            <w:right w:val="none" w:sz="0" w:space="0" w:color="auto"/>
          </w:divBdr>
        </w:div>
      </w:divsChild>
    </w:div>
    <w:div w:id="2136436973">
      <w:bodyDiv w:val="1"/>
      <w:marLeft w:val="0"/>
      <w:marRight w:val="0"/>
      <w:marTop w:val="0"/>
      <w:marBottom w:val="0"/>
      <w:divBdr>
        <w:top w:val="none" w:sz="0" w:space="0" w:color="auto"/>
        <w:left w:val="none" w:sz="0" w:space="0" w:color="auto"/>
        <w:bottom w:val="none" w:sz="0" w:space="0" w:color="auto"/>
        <w:right w:val="none" w:sz="0" w:space="0" w:color="auto"/>
      </w:divBdr>
      <w:divsChild>
        <w:div w:id="1460028603">
          <w:marLeft w:val="0"/>
          <w:marRight w:val="0"/>
          <w:marTop w:val="0"/>
          <w:marBottom w:val="0"/>
          <w:divBdr>
            <w:top w:val="none" w:sz="0" w:space="0" w:color="auto"/>
            <w:left w:val="none" w:sz="0" w:space="0" w:color="auto"/>
            <w:bottom w:val="none" w:sz="0" w:space="0" w:color="auto"/>
            <w:right w:val="none" w:sz="0" w:space="0" w:color="auto"/>
          </w:divBdr>
        </w:div>
        <w:div w:id="1574587496">
          <w:marLeft w:val="0"/>
          <w:marRight w:val="0"/>
          <w:marTop w:val="0"/>
          <w:marBottom w:val="0"/>
          <w:divBdr>
            <w:top w:val="none" w:sz="0" w:space="0" w:color="auto"/>
            <w:left w:val="none" w:sz="0" w:space="0" w:color="auto"/>
            <w:bottom w:val="none" w:sz="0" w:space="0" w:color="auto"/>
            <w:right w:val="none" w:sz="0" w:space="0" w:color="auto"/>
          </w:divBdr>
        </w:div>
        <w:div w:id="1274092990">
          <w:marLeft w:val="0"/>
          <w:marRight w:val="0"/>
          <w:marTop w:val="0"/>
          <w:marBottom w:val="0"/>
          <w:divBdr>
            <w:top w:val="none" w:sz="0" w:space="0" w:color="auto"/>
            <w:left w:val="none" w:sz="0" w:space="0" w:color="auto"/>
            <w:bottom w:val="none" w:sz="0" w:space="0" w:color="auto"/>
            <w:right w:val="none" w:sz="0" w:space="0" w:color="auto"/>
          </w:divBdr>
        </w:div>
        <w:div w:id="36585884">
          <w:marLeft w:val="0"/>
          <w:marRight w:val="0"/>
          <w:marTop w:val="0"/>
          <w:marBottom w:val="0"/>
          <w:divBdr>
            <w:top w:val="none" w:sz="0" w:space="0" w:color="auto"/>
            <w:left w:val="none" w:sz="0" w:space="0" w:color="auto"/>
            <w:bottom w:val="none" w:sz="0" w:space="0" w:color="auto"/>
            <w:right w:val="none" w:sz="0" w:space="0" w:color="auto"/>
          </w:divBdr>
        </w:div>
        <w:div w:id="648024499">
          <w:marLeft w:val="0"/>
          <w:marRight w:val="0"/>
          <w:marTop w:val="0"/>
          <w:marBottom w:val="0"/>
          <w:divBdr>
            <w:top w:val="none" w:sz="0" w:space="0" w:color="auto"/>
            <w:left w:val="none" w:sz="0" w:space="0" w:color="auto"/>
            <w:bottom w:val="none" w:sz="0" w:space="0" w:color="auto"/>
            <w:right w:val="none" w:sz="0" w:space="0" w:color="auto"/>
          </w:divBdr>
        </w:div>
        <w:div w:id="2065833641">
          <w:marLeft w:val="0"/>
          <w:marRight w:val="0"/>
          <w:marTop w:val="0"/>
          <w:marBottom w:val="0"/>
          <w:divBdr>
            <w:top w:val="none" w:sz="0" w:space="0" w:color="auto"/>
            <w:left w:val="none" w:sz="0" w:space="0" w:color="auto"/>
            <w:bottom w:val="none" w:sz="0" w:space="0" w:color="auto"/>
            <w:right w:val="none" w:sz="0" w:space="0" w:color="auto"/>
          </w:divBdr>
        </w:div>
        <w:div w:id="992955294">
          <w:marLeft w:val="0"/>
          <w:marRight w:val="0"/>
          <w:marTop w:val="0"/>
          <w:marBottom w:val="0"/>
          <w:divBdr>
            <w:top w:val="none" w:sz="0" w:space="0" w:color="auto"/>
            <w:left w:val="none" w:sz="0" w:space="0" w:color="auto"/>
            <w:bottom w:val="none" w:sz="0" w:space="0" w:color="auto"/>
            <w:right w:val="none" w:sz="0" w:space="0" w:color="auto"/>
          </w:divBdr>
        </w:div>
        <w:div w:id="236282463">
          <w:marLeft w:val="0"/>
          <w:marRight w:val="0"/>
          <w:marTop w:val="0"/>
          <w:marBottom w:val="0"/>
          <w:divBdr>
            <w:top w:val="none" w:sz="0" w:space="0" w:color="auto"/>
            <w:left w:val="none" w:sz="0" w:space="0" w:color="auto"/>
            <w:bottom w:val="none" w:sz="0" w:space="0" w:color="auto"/>
            <w:right w:val="none" w:sz="0" w:space="0" w:color="auto"/>
          </w:divBdr>
        </w:div>
        <w:div w:id="1967537319">
          <w:marLeft w:val="0"/>
          <w:marRight w:val="0"/>
          <w:marTop w:val="0"/>
          <w:marBottom w:val="0"/>
          <w:divBdr>
            <w:top w:val="none" w:sz="0" w:space="0" w:color="auto"/>
            <w:left w:val="none" w:sz="0" w:space="0" w:color="auto"/>
            <w:bottom w:val="none" w:sz="0" w:space="0" w:color="auto"/>
            <w:right w:val="none" w:sz="0" w:space="0" w:color="auto"/>
          </w:divBdr>
        </w:div>
        <w:div w:id="1734500918">
          <w:marLeft w:val="0"/>
          <w:marRight w:val="0"/>
          <w:marTop w:val="0"/>
          <w:marBottom w:val="0"/>
          <w:divBdr>
            <w:top w:val="none" w:sz="0" w:space="0" w:color="auto"/>
            <w:left w:val="none" w:sz="0" w:space="0" w:color="auto"/>
            <w:bottom w:val="none" w:sz="0" w:space="0" w:color="auto"/>
            <w:right w:val="none" w:sz="0" w:space="0" w:color="auto"/>
          </w:divBdr>
        </w:div>
        <w:div w:id="1397245490">
          <w:marLeft w:val="0"/>
          <w:marRight w:val="0"/>
          <w:marTop w:val="0"/>
          <w:marBottom w:val="0"/>
          <w:divBdr>
            <w:top w:val="none" w:sz="0" w:space="0" w:color="auto"/>
            <w:left w:val="none" w:sz="0" w:space="0" w:color="auto"/>
            <w:bottom w:val="none" w:sz="0" w:space="0" w:color="auto"/>
            <w:right w:val="none" w:sz="0" w:space="0" w:color="auto"/>
          </w:divBdr>
        </w:div>
        <w:div w:id="2039308130">
          <w:marLeft w:val="0"/>
          <w:marRight w:val="0"/>
          <w:marTop w:val="0"/>
          <w:marBottom w:val="0"/>
          <w:divBdr>
            <w:top w:val="none" w:sz="0" w:space="0" w:color="auto"/>
            <w:left w:val="none" w:sz="0" w:space="0" w:color="auto"/>
            <w:bottom w:val="none" w:sz="0" w:space="0" w:color="auto"/>
            <w:right w:val="none" w:sz="0" w:space="0" w:color="auto"/>
          </w:divBdr>
        </w:div>
        <w:div w:id="1669553683">
          <w:marLeft w:val="0"/>
          <w:marRight w:val="0"/>
          <w:marTop w:val="0"/>
          <w:marBottom w:val="0"/>
          <w:divBdr>
            <w:top w:val="none" w:sz="0" w:space="0" w:color="auto"/>
            <w:left w:val="none" w:sz="0" w:space="0" w:color="auto"/>
            <w:bottom w:val="none" w:sz="0" w:space="0" w:color="auto"/>
            <w:right w:val="none" w:sz="0" w:space="0" w:color="auto"/>
          </w:divBdr>
        </w:div>
        <w:div w:id="457261623">
          <w:marLeft w:val="0"/>
          <w:marRight w:val="0"/>
          <w:marTop w:val="0"/>
          <w:marBottom w:val="0"/>
          <w:divBdr>
            <w:top w:val="none" w:sz="0" w:space="0" w:color="auto"/>
            <w:left w:val="none" w:sz="0" w:space="0" w:color="auto"/>
            <w:bottom w:val="none" w:sz="0" w:space="0" w:color="auto"/>
            <w:right w:val="none" w:sz="0" w:space="0" w:color="auto"/>
          </w:divBdr>
        </w:div>
        <w:div w:id="1658000491">
          <w:marLeft w:val="0"/>
          <w:marRight w:val="0"/>
          <w:marTop w:val="0"/>
          <w:marBottom w:val="0"/>
          <w:divBdr>
            <w:top w:val="none" w:sz="0" w:space="0" w:color="auto"/>
            <w:left w:val="none" w:sz="0" w:space="0" w:color="auto"/>
            <w:bottom w:val="none" w:sz="0" w:space="0" w:color="auto"/>
            <w:right w:val="none" w:sz="0" w:space="0" w:color="auto"/>
          </w:divBdr>
        </w:div>
        <w:div w:id="1744909897">
          <w:marLeft w:val="0"/>
          <w:marRight w:val="0"/>
          <w:marTop w:val="0"/>
          <w:marBottom w:val="0"/>
          <w:divBdr>
            <w:top w:val="none" w:sz="0" w:space="0" w:color="auto"/>
            <w:left w:val="none" w:sz="0" w:space="0" w:color="auto"/>
            <w:bottom w:val="none" w:sz="0" w:space="0" w:color="auto"/>
            <w:right w:val="none" w:sz="0" w:space="0" w:color="auto"/>
          </w:divBdr>
        </w:div>
        <w:div w:id="438838631">
          <w:marLeft w:val="0"/>
          <w:marRight w:val="0"/>
          <w:marTop w:val="0"/>
          <w:marBottom w:val="0"/>
          <w:divBdr>
            <w:top w:val="none" w:sz="0" w:space="0" w:color="auto"/>
            <w:left w:val="none" w:sz="0" w:space="0" w:color="auto"/>
            <w:bottom w:val="none" w:sz="0" w:space="0" w:color="auto"/>
            <w:right w:val="none" w:sz="0" w:space="0" w:color="auto"/>
          </w:divBdr>
        </w:div>
        <w:div w:id="7204018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Stephens, Greg</dc:creator>
  <cp:lastModifiedBy>Quesada, Janis</cp:lastModifiedBy>
  <cp:revision>2</cp:revision>
  <cp:lastPrinted>2019-05-13T17:28:00Z</cp:lastPrinted>
  <dcterms:created xsi:type="dcterms:W3CDTF">2019-11-21T22:52:00Z</dcterms:created>
  <dcterms:modified xsi:type="dcterms:W3CDTF">2019-11-21T22:52:00Z</dcterms:modified>
</cp:coreProperties>
</file>