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72DB9" w14:textId="77777777" w:rsidR="00751FE9" w:rsidRPr="005978E8" w:rsidRDefault="00751FE9" w:rsidP="00D032F4">
      <w:pPr>
        <w:spacing w:line="240" w:lineRule="auto"/>
        <w:contextualSpacing/>
        <w:jc w:val="center"/>
        <w:rPr>
          <w:rFonts w:ascii="Garamond" w:hAnsi="Garamond"/>
          <w:iCs/>
          <w:sz w:val="28"/>
          <w:szCs w:val="32"/>
        </w:rPr>
      </w:pPr>
      <w:r w:rsidRPr="005978E8">
        <w:rPr>
          <w:rFonts w:ascii="Garamond" w:hAnsi="Garamond"/>
          <w:i/>
          <w:iCs/>
          <w:sz w:val="28"/>
          <w:szCs w:val="32"/>
        </w:rPr>
        <w:t xml:space="preserve">Diversity, Equity, and Inclusion Essential Competency </w:t>
      </w:r>
      <w:r w:rsidR="00116B03" w:rsidRPr="005978E8">
        <w:rPr>
          <w:rFonts w:ascii="Garamond" w:hAnsi="Garamond"/>
          <w:i/>
          <w:iCs/>
          <w:sz w:val="28"/>
          <w:szCs w:val="32"/>
        </w:rPr>
        <w:t>(DEI EC)</w:t>
      </w:r>
    </w:p>
    <w:p w14:paraId="3A2C5D9B" w14:textId="77777777" w:rsidR="00751FE9" w:rsidRDefault="00751FE9" w:rsidP="00D032F4">
      <w:pPr>
        <w:spacing w:line="240" w:lineRule="auto"/>
        <w:contextualSpacing/>
        <w:jc w:val="center"/>
        <w:rPr>
          <w:rFonts w:ascii="Garamond" w:hAnsi="Garamond"/>
          <w:iCs/>
          <w:sz w:val="28"/>
          <w:szCs w:val="32"/>
        </w:rPr>
      </w:pPr>
      <w:r w:rsidRPr="005978E8">
        <w:rPr>
          <w:rFonts w:ascii="Garamond" w:hAnsi="Garamond"/>
          <w:iCs/>
          <w:sz w:val="28"/>
          <w:szCs w:val="32"/>
        </w:rPr>
        <w:t>Recommendations for Implementation</w:t>
      </w:r>
    </w:p>
    <w:p w14:paraId="4A58E251" w14:textId="77777777" w:rsidR="00D2483E" w:rsidRDefault="00D2483E" w:rsidP="00D032F4">
      <w:pPr>
        <w:spacing w:line="240" w:lineRule="auto"/>
        <w:contextualSpacing/>
        <w:jc w:val="center"/>
        <w:rPr>
          <w:rFonts w:ascii="Garamond" w:hAnsi="Garamond"/>
          <w:iCs/>
          <w:sz w:val="28"/>
          <w:szCs w:val="32"/>
        </w:rPr>
      </w:pPr>
      <w:r>
        <w:rPr>
          <w:rFonts w:ascii="Garamond" w:hAnsi="Garamond"/>
          <w:iCs/>
          <w:sz w:val="28"/>
          <w:szCs w:val="32"/>
        </w:rPr>
        <w:t>Submitted to TCU Faculty Senate on</w:t>
      </w:r>
    </w:p>
    <w:p w14:paraId="0D3D807B" w14:textId="4CC82D0E" w:rsidR="00D2483E" w:rsidRPr="005978E8" w:rsidRDefault="0078754A" w:rsidP="00D032F4">
      <w:pPr>
        <w:spacing w:line="240" w:lineRule="auto"/>
        <w:contextualSpacing/>
        <w:jc w:val="center"/>
        <w:rPr>
          <w:rFonts w:ascii="Garamond" w:hAnsi="Garamond"/>
          <w:iCs/>
          <w:sz w:val="28"/>
          <w:szCs w:val="32"/>
        </w:rPr>
      </w:pPr>
      <w:r>
        <w:rPr>
          <w:rFonts w:ascii="Garamond" w:hAnsi="Garamond"/>
          <w:iCs/>
          <w:sz w:val="28"/>
          <w:szCs w:val="32"/>
        </w:rPr>
        <w:t>27</w:t>
      </w:r>
      <w:r w:rsidR="00D2483E">
        <w:rPr>
          <w:rFonts w:ascii="Garamond" w:hAnsi="Garamond"/>
          <w:iCs/>
          <w:sz w:val="28"/>
          <w:szCs w:val="32"/>
        </w:rPr>
        <w:t xml:space="preserve"> November 2019</w:t>
      </w:r>
    </w:p>
    <w:p w14:paraId="0A37501D" w14:textId="77777777" w:rsidR="001231B1" w:rsidRDefault="001231B1" w:rsidP="00D032F4">
      <w:pPr>
        <w:spacing w:line="240" w:lineRule="auto"/>
        <w:contextualSpacing/>
        <w:rPr>
          <w:rFonts w:ascii="Garamond" w:hAnsi="Garamond"/>
        </w:rPr>
      </w:pPr>
    </w:p>
    <w:p w14:paraId="5DAB6C7B" w14:textId="77777777" w:rsidR="00722873" w:rsidRDefault="00722873" w:rsidP="00D032F4">
      <w:pPr>
        <w:spacing w:line="240" w:lineRule="auto"/>
        <w:contextualSpacing/>
        <w:rPr>
          <w:rFonts w:ascii="Garamond" w:hAnsi="Garamond"/>
        </w:rPr>
      </w:pPr>
    </w:p>
    <w:p w14:paraId="14029976" w14:textId="77777777" w:rsidR="00116B03" w:rsidRPr="00480BE9" w:rsidRDefault="00116B03" w:rsidP="00D032F4">
      <w:pPr>
        <w:spacing w:line="240" w:lineRule="auto"/>
        <w:contextualSpacing/>
        <w:rPr>
          <w:rFonts w:ascii="Garamond" w:hAnsi="Garamond"/>
          <w:b/>
          <w:u w:val="single"/>
        </w:rPr>
      </w:pPr>
      <w:r w:rsidRPr="00480BE9">
        <w:rPr>
          <w:rFonts w:ascii="Garamond" w:hAnsi="Garamond"/>
          <w:b/>
          <w:sz w:val="28"/>
          <w:u w:val="single"/>
        </w:rPr>
        <w:t>Administrative Matters:</w:t>
      </w:r>
    </w:p>
    <w:p w14:paraId="67994610" w14:textId="225D2485" w:rsidR="00116B03" w:rsidRPr="00AE04BA" w:rsidRDefault="00116B03" w:rsidP="00D032F4">
      <w:pPr>
        <w:spacing w:line="240" w:lineRule="auto"/>
        <w:contextualSpacing/>
        <w:rPr>
          <w:rFonts w:ascii="Garamond" w:hAnsi="Garamond"/>
          <w:b/>
          <w:color w:val="000000"/>
          <w:sz w:val="24"/>
        </w:rPr>
      </w:pPr>
      <w:r w:rsidRPr="00AE04BA">
        <w:rPr>
          <w:rFonts w:ascii="Garamond" w:hAnsi="Garamond"/>
          <w:b/>
          <w:color w:val="000000"/>
          <w:sz w:val="24"/>
        </w:rPr>
        <w:t>Recommendation 1: Students must complete the DEI EC on campus at TCU in courses taught by appropriately-trained faculty.</w:t>
      </w:r>
    </w:p>
    <w:p w14:paraId="7A303482" w14:textId="77777777" w:rsidR="00116B03" w:rsidRPr="00AE04BA" w:rsidRDefault="00116B03" w:rsidP="008A4DB5">
      <w:pPr>
        <w:spacing w:line="240" w:lineRule="auto"/>
        <w:ind w:firstLine="720"/>
        <w:contextualSpacing/>
        <w:rPr>
          <w:rFonts w:ascii="Garamond" w:hAnsi="Garamond"/>
          <w:color w:val="000000"/>
          <w:sz w:val="24"/>
        </w:rPr>
      </w:pPr>
      <w:r w:rsidRPr="00AE04BA">
        <w:rPr>
          <w:rFonts w:ascii="Garamond" w:hAnsi="Garamond"/>
          <w:color w:val="000000"/>
          <w:sz w:val="24"/>
        </w:rPr>
        <w:t xml:space="preserve">Instructors teaching DEI EC-vetted courses will be required to </w:t>
      </w:r>
      <w:r w:rsidR="00AE04BA">
        <w:rPr>
          <w:rFonts w:ascii="Garamond" w:hAnsi="Garamond"/>
          <w:color w:val="000000"/>
          <w:sz w:val="24"/>
        </w:rPr>
        <w:t xml:space="preserve">complete </w:t>
      </w:r>
      <w:r w:rsidR="00AE04BA" w:rsidRPr="00AE04BA">
        <w:rPr>
          <w:rFonts w:ascii="Garamond" w:hAnsi="Garamond"/>
          <w:color w:val="000000" w:themeColor="text1"/>
          <w:sz w:val="24"/>
          <w:szCs w:val="24"/>
        </w:rPr>
        <w:t>a professional development workshop focused on pedagogy</w:t>
      </w:r>
      <w:r w:rsidR="00AE04BA">
        <w:rPr>
          <w:rFonts w:ascii="Garamond" w:hAnsi="Garamond"/>
          <w:color w:val="000000" w:themeColor="text1"/>
          <w:sz w:val="24"/>
          <w:szCs w:val="24"/>
        </w:rPr>
        <w:t xml:space="preserve"> (see below). </w:t>
      </w:r>
      <w:r w:rsidRPr="00AE04BA">
        <w:rPr>
          <w:rFonts w:ascii="Garamond" w:hAnsi="Garamond"/>
          <w:color w:val="000000"/>
          <w:sz w:val="24"/>
        </w:rPr>
        <w:t>Since we cannot guarantee similar training at o</w:t>
      </w:r>
      <w:r w:rsidR="00AE04BA">
        <w:rPr>
          <w:rFonts w:ascii="Garamond" w:hAnsi="Garamond"/>
          <w:color w:val="000000"/>
          <w:sz w:val="24"/>
        </w:rPr>
        <w:t xml:space="preserve">ther </w:t>
      </w:r>
      <w:r w:rsidRPr="00AE04BA">
        <w:rPr>
          <w:rFonts w:ascii="Garamond" w:hAnsi="Garamond"/>
          <w:color w:val="000000"/>
          <w:sz w:val="24"/>
        </w:rPr>
        <w:t xml:space="preserve">institutions, we recommend that students be required to fulfill their DEI EC on campus at TCU under the instruction of appropriately-trained faculty. </w:t>
      </w:r>
    </w:p>
    <w:p w14:paraId="6A05A809" w14:textId="77777777" w:rsidR="00116B03" w:rsidRPr="00AE04BA" w:rsidRDefault="00116B03" w:rsidP="00D032F4">
      <w:pPr>
        <w:spacing w:line="240" w:lineRule="auto"/>
        <w:contextualSpacing/>
        <w:rPr>
          <w:rFonts w:ascii="Garamond" w:hAnsi="Garamond"/>
          <w:sz w:val="24"/>
        </w:rPr>
      </w:pPr>
    </w:p>
    <w:p w14:paraId="38DDBA72" w14:textId="77777777" w:rsidR="00116B03" w:rsidRPr="00AE04BA" w:rsidRDefault="00116B03" w:rsidP="00D032F4">
      <w:pPr>
        <w:spacing w:line="240" w:lineRule="auto"/>
        <w:contextualSpacing/>
        <w:rPr>
          <w:rFonts w:ascii="Garamond" w:hAnsi="Garamond"/>
          <w:b/>
          <w:color w:val="000000"/>
          <w:sz w:val="24"/>
        </w:rPr>
      </w:pPr>
      <w:r w:rsidRPr="00AE04BA">
        <w:rPr>
          <w:rFonts w:ascii="Garamond" w:hAnsi="Garamond"/>
          <w:b/>
          <w:color w:val="000000"/>
          <w:sz w:val="24"/>
        </w:rPr>
        <w:t xml:space="preserve">Recommendation 2: Any course vetted for the DEI EC must be limited in size to 19 </w:t>
      </w:r>
      <w:r w:rsidR="00061DF7">
        <w:rPr>
          <w:rFonts w:ascii="Garamond" w:hAnsi="Garamond"/>
          <w:b/>
          <w:color w:val="000000"/>
          <w:sz w:val="24"/>
        </w:rPr>
        <w:t xml:space="preserve">students </w:t>
      </w:r>
      <w:r w:rsidRPr="00AE04BA">
        <w:rPr>
          <w:rFonts w:ascii="Garamond" w:hAnsi="Garamond"/>
          <w:b/>
          <w:color w:val="000000"/>
          <w:sz w:val="24"/>
        </w:rPr>
        <w:t xml:space="preserve">or fewer. </w:t>
      </w:r>
    </w:p>
    <w:p w14:paraId="5B0B9501" w14:textId="05642967" w:rsidR="00116B03" w:rsidRPr="00AE04BA" w:rsidRDefault="00116B03" w:rsidP="008A4DB5">
      <w:pPr>
        <w:spacing w:line="240" w:lineRule="auto"/>
        <w:ind w:firstLine="720"/>
        <w:contextualSpacing/>
        <w:rPr>
          <w:rFonts w:ascii="Garamond" w:hAnsi="Garamond"/>
          <w:sz w:val="24"/>
        </w:rPr>
      </w:pPr>
      <w:r w:rsidRPr="00AE04BA">
        <w:rPr>
          <w:rFonts w:ascii="Garamond" w:hAnsi="Garamond"/>
          <w:sz w:val="24"/>
        </w:rPr>
        <w:t xml:space="preserve">The DEI EC is a competency—a skillset that requires cultivation and practice. This will require that the instructor provide frequent, detailed feedback which would not be possible in a larger class setting.  Further, it is important to recognize the emotional labor that this type of course entails for faculty, guiding the class through complicated issues that cut to the core of students’ identities and their relationship to power.  This can only be accomplished in an environment of mutual respect and trust, necessitating relationship-building between students and faculty which is only possible in a small classroom. </w:t>
      </w:r>
    </w:p>
    <w:p w14:paraId="5A39BBE3" w14:textId="77777777" w:rsidR="00116B03" w:rsidRPr="00AE04BA" w:rsidRDefault="00116B03" w:rsidP="00D032F4">
      <w:pPr>
        <w:spacing w:line="240" w:lineRule="auto"/>
        <w:contextualSpacing/>
        <w:rPr>
          <w:rFonts w:ascii="Garamond" w:hAnsi="Garamond"/>
          <w:sz w:val="24"/>
        </w:rPr>
      </w:pPr>
    </w:p>
    <w:p w14:paraId="7152ED26" w14:textId="77777777" w:rsidR="00116B03" w:rsidRPr="00AE04BA" w:rsidRDefault="00116B03" w:rsidP="00D032F4">
      <w:pPr>
        <w:spacing w:line="240" w:lineRule="auto"/>
        <w:contextualSpacing/>
        <w:rPr>
          <w:rFonts w:ascii="Garamond" w:hAnsi="Garamond"/>
          <w:b/>
          <w:color w:val="000000"/>
          <w:sz w:val="24"/>
        </w:rPr>
      </w:pPr>
      <w:r w:rsidRPr="00AE04BA">
        <w:rPr>
          <w:rFonts w:ascii="Garamond" w:hAnsi="Garamond"/>
          <w:b/>
          <w:color w:val="000000"/>
          <w:sz w:val="24"/>
        </w:rPr>
        <w:t xml:space="preserve">Recommendation 3: The DEI EC may overlay with </w:t>
      </w:r>
      <w:r w:rsidRPr="00AE04BA">
        <w:rPr>
          <w:rFonts w:ascii="Garamond" w:hAnsi="Garamond"/>
          <w:b/>
          <w:color w:val="000000"/>
          <w:sz w:val="24"/>
          <w:u w:val="single"/>
        </w:rPr>
        <w:t>any other course</w:t>
      </w:r>
      <w:r w:rsidRPr="00AE04BA">
        <w:rPr>
          <w:rFonts w:ascii="Garamond" w:hAnsi="Garamond"/>
          <w:b/>
          <w:color w:val="000000"/>
          <w:sz w:val="24"/>
        </w:rPr>
        <w:t xml:space="preserve"> already approved for a TCU Core Curriculum designation, including courses that already have Essential Competency designation.</w:t>
      </w:r>
    </w:p>
    <w:p w14:paraId="5DFE8770" w14:textId="66FBCE31" w:rsidR="0072525E" w:rsidRDefault="00116B03" w:rsidP="008A4DB5">
      <w:pPr>
        <w:spacing w:line="240" w:lineRule="auto"/>
        <w:ind w:firstLine="720"/>
        <w:contextualSpacing/>
        <w:rPr>
          <w:rFonts w:ascii="Garamond" w:hAnsi="Garamond"/>
          <w:sz w:val="24"/>
        </w:rPr>
      </w:pPr>
      <w:r w:rsidRPr="00AE04BA">
        <w:rPr>
          <w:rFonts w:ascii="Garamond" w:hAnsi="Garamond"/>
          <w:sz w:val="24"/>
        </w:rPr>
        <w:t>Students should have the opportunity to fulfill the DEI EC without necessarily adding an additional course to their degree plan.</w:t>
      </w:r>
    </w:p>
    <w:p w14:paraId="72A3D3EC" w14:textId="57BD3FE4" w:rsidR="006A62CE" w:rsidRDefault="006A62CE" w:rsidP="00D032F4">
      <w:pPr>
        <w:spacing w:line="240" w:lineRule="auto"/>
        <w:contextualSpacing/>
        <w:rPr>
          <w:rFonts w:ascii="Garamond" w:hAnsi="Garamond"/>
        </w:rPr>
      </w:pPr>
    </w:p>
    <w:p w14:paraId="1248F190" w14:textId="77777777" w:rsidR="000E0E07" w:rsidRPr="005978E8" w:rsidRDefault="000E0E07" w:rsidP="00D032F4">
      <w:pPr>
        <w:spacing w:line="240" w:lineRule="auto"/>
        <w:contextualSpacing/>
        <w:rPr>
          <w:rFonts w:ascii="Garamond" w:hAnsi="Garamond"/>
        </w:rPr>
      </w:pPr>
    </w:p>
    <w:p w14:paraId="3956A2ED" w14:textId="77777777" w:rsidR="006A62CE" w:rsidRPr="00352940" w:rsidRDefault="006A62CE" w:rsidP="006A62CE">
      <w:pPr>
        <w:spacing w:line="240" w:lineRule="auto"/>
        <w:contextualSpacing/>
        <w:rPr>
          <w:rFonts w:ascii="Garamond" w:hAnsi="Garamond"/>
          <w:b/>
          <w:sz w:val="24"/>
          <w:szCs w:val="24"/>
          <w:u w:val="single"/>
        </w:rPr>
      </w:pPr>
      <w:r w:rsidRPr="00480BE9">
        <w:rPr>
          <w:rFonts w:ascii="Garamond" w:hAnsi="Garamond"/>
          <w:b/>
          <w:sz w:val="28"/>
          <w:u w:val="single"/>
        </w:rPr>
        <w:t>Vetting Courses</w:t>
      </w:r>
    </w:p>
    <w:p w14:paraId="0BE3A653" w14:textId="77777777" w:rsidR="008A4DB5" w:rsidRDefault="00171255" w:rsidP="008A4DB5">
      <w:pPr>
        <w:spacing w:line="240" w:lineRule="auto"/>
        <w:contextualSpacing/>
        <w:rPr>
          <w:rFonts w:ascii="Garamond" w:hAnsi="Garamond"/>
          <w:b/>
          <w:sz w:val="24"/>
          <w:szCs w:val="24"/>
        </w:rPr>
      </w:pPr>
      <w:r w:rsidRPr="00352940">
        <w:rPr>
          <w:rFonts w:ascii="Garamond" w:hAnsi="Garamond"/>
          <w:b/>
          <w:sz w:val="24"/>
          <w:szCs w:val="24"/>
        </w:rPr>
        <w:t>Recommendation 1: Create a DEI EC Committee to vet courses.</w:t>
      </w:r>
    </w:p>
    <w:p w14:paraId="3F106469" w14:textId="507EDAC3" w:rsidR="00B77472" w:rsidRPr="008A4DB5" w:rsidRDefault="006515FE" w:rsidP="008A4DB5">
      <w:pPr>
        <w:spacing w:line="240" w:lineRule="auto"/>
        <w:ind w:firstLine="720"/>
        <w:contextualSpacing/>
        <w:rPr>
          <w:rFonts w:ascii="Garamond" w:hAnsi="Garamond"/>
          <w:b/>
          <w:sz w:val="24"/>
          <w:szCs w:val="24"/>
        </w:rPr>
      </w:pPr>
      <w:r w:rsidRPr="00B77472">
        <w:rPr>
          <w:rFonts w:ascii="Garamond" w:hAnsi="Garamond"/>
          <w:sz w:val="24"/>
          <w:szCs w:val="24"/>
        </w:rPr>
        <w:t xml:space="preserve">The Diversity, Equity, and Inclusion Essential Competency Committee </w:t>
      </w:r>
      <w:r w:rsidR="00352940" w:rsidRPr="00B77472">
        <w:rPr>
          <w:rFonts w:ascii="Garamond" w:hAnsi="Garamond"/>
          <w:sz w:val="24"/>
          <w:szCs w:val="24"/>
        </w:rPr>
        <w:t xml:space="preserve">should </w:t>
      </w:r>
      <w:r w:rsidRPr="00B77472">
        <w:rPr>
          <w:rFonts w:ascii="Garamond" w:hAnsi="Garamond"/>
          <w:sz w:val="24"/>
          <w:szCs w:val="24"/>
        </w:rPr>
        <w:t xml:space="preserve">be a Faculty Senate Committee that will vet courses for the Diversity, Equity, and Inclusion Essential Competency (DEI EC). </w:t>
      </w:r>
      <w:r w:rsidR="00352940" w:rsidRPr="00B77472">
        <w:rPr>
          <w:rFonts w:ascii="Garamond" w:hAnsi="Garamond"/>
          <w:sz w:val="24"/>
          <w:szCs w:val="24"/>
        </w:rPr>
        <w:t>This committee will vet courses for the DEI EC using as criteria the outcomes and action steps. This committee will also be responsible for working</w:t>
      </w:r>
      <w:r w:rsidR="00802FE7">
        <w:rPr>
          <w:rFonts w:ascii="Garamond" w:hAnsi="Garamond"/>
          <w:sz w:val="24"/>
          <w:szCs w:val="24"/>
        </w:rPr>
        <w:t xml:space="preserve"> with</w:t>
      </w:r>
      <w:r w:rsidR="00352940" w:rsidRPr="00B77472">
        <w:rPr>
          <w:rFonts w:ascii="Garamond" w:hAnsi="Garamond"/>
          <w:sz w:val="24"/>
          <w:szCs w:val="24"/>
        </w:rPr>
        <w:t xml:space="preserve"> the </w:t>
      </w:r>
      <w:r w:rsidR="00010EE1">
        <w:rPr>
          <w:rFonts w:ascii="Garamond" w:hAnsi="Garamond"/>
          <w:sz w:val="24"/>
          <w:szCs w:val="24"/>
        </w:rPr>
        <w:t>Director of the TCU Core Curriculum</w:t>
      </w:r>
      <w:r w:rsidR="00352940" w:rsidRPr="00B77472">
        <w:rPr>
          <w:rFonts w:ascii="Garamond" w:hAnsi="Garamond"/>
          <w:sz w:val="24"/>
          <w:szCs w:val="24"/>
        </w:rPr>
        <w:t>, and for maintaining a record of faculty who have successfully completed the training necessary to teach the DEI EC.</w:t>
      </w:r>
      <w:r w:rsidR="00D662FC">
        <w:rPr>
          <w:rFonts w:ascii="Garamond" w:hAnsi="Garamond"/>
          <w:sz w:val="24"/>
          <w:szCs w:val="24"/>
        </w:rPr>
        <w:t xml:space="preserve"> </w:t>
      </w:r>
    </w:p>
    <w:p w14:paraId="0C8DD218" w14:textId="31EC0415" w:rsidR="00B8051F" w:rsidRDefault="00FC5EEF" w:rsidP="00203A89">
      <w:pPr>
        <w:tabs>
          <w:tab w:val="left" w:pos="1192"/>
          <w:tab w:val="left" w:pos="1193"/>
        </w:tabs>
        <w:spacing w:line="240" w:lineRule="auto"/>
        <w:ind w:left="720" w:right="331"/>
        <w:contextualSpacing/>
        <w:rPr>
          <w:rFonts w:ascii="Garamond" w:hAnsi="Garamond"/>
          <w:sz w:val="24"/>
          <w:szCs w:val="24"/>
        </w:rPr>
      </w:pPr>
      <w:r w:rsidRPr="00B77472">
        <w:rPr>
          <w:rFonts w:ascii="Garamond" w:hAnsi="Garamond"/>
          <w:sz w:val="24"/>
          <w:szCs w:val="24"/>
        </w:rPr>
        <w:t>See the DEI EC Committee Charter document</w:t>
      </w:r>
      <w:r w:rsidR="00B77472">
        <w:rPr>
          <w:rFonts w:ascii="Garamond" w:hAnsi="Garamond"/>
          <w:sz w:val="24"/>
          <w:szCs w:val="24"/>
        </w:rPr>
        <w:t xml:space="preserve"> for more detail.</w:t>
      </w:r>
    </w:p>
    <w:p w14:paraId="0D0B940D" w14:textId="77777777" w:rsidR="00B77472" w:rsidRPr="00B77472" w:rsidRDefault="00B77472" w:rsidP="00B77472">
      <w:pPr>
        <w:tabs>
          <w:tab w:val="left" w:pos="1192"/>
          <w:tab w:val="left" w:pos="1193"/>
        </w:tabs>
        <w:spacing w:line="240" w:lineRule="auto"/>
        <w:ind w:right="331"/>
        <w:contextualSpacing/>
        <w:rPr>
          <w:rFonts w:ascii="Garamond" w:hAnsi="Garamond"/>
          <w:sz w:val="24"/>
          <w:szCs w:val="24"/>
        </w:rPr>
      </w:pPr>
    </w:p>
    <w:p w14:paraId="7FF5F614" w14:textId="77777777" w:rsidR="00B77472" w:rsidRDefault="00171255" w:rsidP="00B77472">
      <w:pPr>
        <w:spacing w:line="240" w:lineRule="auto"/>
        <w:contextualSpacing/>
        <w:rPr>
          <w:rFonts w:ascii="Garamond" w:hAnsi="Garamond"/>
          <w:b/>
          <w:sz w:val="24"/>
          <w:szCs w:val="24"/>
        </w:rPr>
      </w:pPr>
      <w:r w:rsidRPr="00B77472">
        <w:rPr>
          <w:rFonts w:ascii="Garamond" w:hAnsi="Garamond"/>
          <w:b/>
          <w:sz w:val="24"/>
          <w:szCs w:val="24"/>
        </w:rPr>
        <w:t>Recommendation 2: The DEI EC should have an Assessment subcommittee responsible for the assessment process.</w:t>
      </w:r>
    </w:p>
    <w:p w14:paraId="4B94D5A5" w14:textId="33FA3DFA" w:rsidR="00AD302E" w:rsidRPr="00B77472" w:rsidRDefault="00A17D63" w:rsidP="00B8051F">
      <w:pPr>
        <w:spacing w:line="240" w:lineRule="auto"/>
        <w:ind w:firstLine="720"/>
        <w:contextualSpacing/>
        <w:rPr>
          <w:rFonts w:ascii="Garamond" w:hAnsi="Garamond"/>
          <w:sz w:val="24"/>
          <w:szCs w:val="24"/>
        </w:rPr>
      </w:pPr>
      <w:r w:rsidRPr="00B77472">
        <w:rPr>
          <w:rFonts w:ascii="Garamond" w:hAnsi="Garamond"/>
          <w:sz w:val="24"/>
          <w:szCs w:val="24"/>
        </w:rPr>
        <w:t>The DEI EC Assessment Subcommittee will conduct an annual course assessment process that will include communicating the results of, and recommendations from, the assessment to faculty, especially those who taught the DEI EC courses reviewed in the assessment process.</w:t>
      </w:r>
    </w:p>
    <w:p w14:paraId="65535111" w14:textId="77777777" w:rsidR="00364C61" w:rsidRDefault="00A17D63" w:rsidP="00364C61">
      <w:pPr>
        <w:spacing w:line="240" w:lineRule="auto"/>
        <w:ind w:firstLine="720"/>
        <w:contextualSpacing/>
        <w:rPr>
          <w:rFonts w:ascii="Garamond" w:hAnsi="Garamond"/>
          <w:sz w:val="24"/>
          <w:szCs w:val="24"/>
        </w:rPr>
      </w:pPr>
      <w:r w:rsidRPr="00B77472">
        <w:rPr>
          <w:rFonts w:ascii="Garamond" w:hAnsi="Garamond"/>
          <w:sz w:val="24"/>
          <w:szCs w:val="24"/>
        </w:rPr>
        <w:t xml:space="preserve">The assessment process will also include a larger periodic assessment of the DEI EC learning goals and institutional goals. The DEI EC Assessment Subcommittee will work with the Director of Institutional Effectiveness and Institutional Accreditation to conduct this component of the </w:t>
      </w:r>
    </w:p>
    <w:p w14:paraId="0FFF4AB5" w14:textId="77777777" w:rsidR="000E0E07" w:rsidRDefault="000E0E07" w:rsidP="00210DF2">
      <w:pPr>
        <w:spacing w:line="240" w:lineRule="auto"/>
        <w:contextualSpacing/>
        <w:rPr>
          <w:rFonts w:ascii="Garamond" w:hAnsi="Garamond"/>
          <w:sz w:val="24"/>
          <w:szCs w:val="24"/>
        </w:rPr>
      </w:pPr>
    </w:p>
    <w:p w14:paraId="3EE29784" w14:textId="1367CBBA" w:rsidR="00B77472" w:rsidRDefault="00A17D63" w:rsidP="00210DF2">
      <w:pPr>
        <w:spacing w:line="240" w:lineRule="auto"/>
        <w:contextualSpacing/>
        <w:rPr>
          <w:rFonts w:ascii="Garamond" w:hAnsi="Garamond"/>
          <w:sz w:val="24"/>
          <w:szCs w:val="24"/>
        </w:rPr>
      </w:pPr>
      <w:r w:rsidRPr="00B77472">
        <w:rPr>
          <w:rFonts w:ascii="Garamond" w:hAnsi="Garamond"/>
          <w:sz w:val="24"/>
          <w:szCs w:val="24"/>
        </w:rPr>
        <w:t>assessment, and will share outcomes of these assessment tools with faculty, widely, and especially with faculty who taught DEI EC course in that academic year.</w:t>
      </w:r>
    </w:p>
    <w:p w14:paraId="2E15D8BA" w14:textId="77777777" w:rsidR="00A17D63" w:rsidRPr="00B77472" w:rsidRDefault="00D662FC" w:rsidP="00D662FC">
      <w:pPr>
        <w:spacing w:line="240" w:lineRule="auto"/>
        <w:contextualSpacing/>
        <w:rPr>
          <w:rFonts w:ascii="Garamond" w:hAnsi="Garamond"/>
          <w:sz w:val="24"/>
          <w:szCs w:val="24"/>
        </w:rPr>
      </w:pPr>
      <w:r>
        <w:rPr>
          <w:rFonts w:ascii="Garamond" w:hAnsi="Garamond"/>
          <w:sz w:val="24"/>
          <w:szCs w:val="24"/>
        </w:rPr>
        <w:tab/>
      </w:r>
      <w:r w:rsidR="00D85481">
        <w:rPr>
          <w:rFonts w:ascii="Garamond" w:hAnsi="Garamond"/>
          <w:sz w:val="24"/>
          <w:szCs w:val="24"/>
        </w:rPr>
        <w:t xml:space="preserve">Because the of the nature of the addressing DEI in a classroom setting, it is important to have a </w:t>
      </w:r>
      <w:r w:rsidR="00817842">
        <w:rPr>
          <w:rFonts w:ascii="Garamond" w:hAnsi="Garamond"/>
          <w:sz w:val="24"/>
          <w:szCs w:val="24"/>
        </w:rPr>
        <w:t xml:space="preserve">dedicated </w:t>
      </w:r>
      <w:r w:rsidR="00D85481">
        <w:rPr>
          <w:rFonts w:ascii="Garamond" w:hAnsi="Garamond"/>
          <w:sz w:val="24"/>
          <w:szCs w:val="24"/>
        </w:rPr>
        <w:t xml:space="preserve">group of </w:t>
      </w:r>
      <w:proofErr w:type="gramStart"/>
      <w:r w:rsidR="00D85481">
        <w:rPr>
          <w:rFonts w:ascii="Garamond" w:hAnsi="Garamond"/>
          <w:sz w:val="24"/>
          <w:szCs w:val="24"/>
        </w:rPr>
        <w:t>faculty</w:t>
      </w:r>
      <w:proofErr w:type="gramEnd"/>
      <w:r w:rsidR="00D85481">
        <w:rPr>
          <w:rFonts w:ascii="Garamond" w:hAnsi="Garamond"/>
          <w:sz w:val="24"/>
          <w:szCs w:val="24"/>
        </w:rPr>
        <w:t xml:space="preserve"> responsible for the assessment of the DEI EC</w:t>
      </w:r>
      <w:r w:rsidR="00B642AA">
        <w:rPr>
          <w:rFonts w:ascii="Garamond" w:hAnsi="Garamond"/>
          <w:sz w:val="24"/>
          <w:szCs w:val="24"/>
        </w:rPr>
        <w:t xml:space="preserve">. </w:t>
      </w:r>
      <w:r w:rsidR="00FC5EEF" w:rsidRPr="00B77472">
        <w:rPr>
          <w:rFonts w:ascii="Garamond" w:hAnsi="Garamond"/>
          <w:sz w:val="24"/>
          <w:szCs w:val="24"/>
        </w:rPr>
        <w:t>See the DEI EC Committee Charter document</w:t>
      </w:r>
      <w:r w:rsidR="00B77472">
        <w:rPr>
          <w:rFonts w:ascii="Garamond" w:hAnsi="Garamond"/>
          <w:sz w:val="24"/>
          <w:szCs w:val="24"/>
        </w:rPr>
        <w:t xml:space="preserve"> for more detail</w:t>
      </w:r>
      <w:r w:rsidR="00FC5EEF" w:rsidRPr="00B77472">
        <w:rPr>
          <w:rFonts w:ascii="Garamond" w:hAnsi="Garamond"/>
          <w:sz w:val="24"/>
          <w:szCs w:val="24"/>
        </w:rPr>
        <w:t>.</w:t>
      </w:r>
    </w:p>
    <w:p w14:paraId="3DEEC669" w14:textId="77777777" w:rsidR="006525CA" w:rsidRPr="00B77472" w:rsidRDefault="006525CA" w:rsidP="006A62CE">
      <w:pPr>
        <w:spacing w:line="240" w:lineRule="auto"/>
        <w:contextualSpacing/>
        <w:rPr>
          <w:rFonts w:ascii="Garamond" w:hAnsi="Garamond"/>
          <w:sz w:val="24"/>
          <w:szCs w:val="24"/>
        </w:rPr>
      </w:pPr>
    </w:p>
    <w:p w14:paraId="125500AE" w14:textId="77777777" w:rsidR="006A62CE" w:rsidRPr="008B760B" w:rsidRDefault="006A62CE" w:rsidP="006A62CE">
      <w:pPr>
        <w:spacing w:line="240" w:lineRule="auto"/>
        <w:contextualSpacing/>
        <w:rPr>
          <w:rFonts w:ascii="Garamond" w:hAnsi="Garamond"/>
          <w:b/>
          <w:sz w:val="28"/>
          <w:szCs w:val="28"/>
          <w:u w:val="single"/>
        </w:rPr>
      </w:pPr>
      <w:r w:rsidRPr="008B760B">
        <w:rPr>
          <w:rFonts w:ascii="Garamond" w:hAnsi="Garamond"/>
          <w:b/>
          <w:sz w:val="28"/>
          <w:szCs w:val="28"/>
          <w:u w:val="single"/>
        </w:rPr>
        <w:t xml:space="preserve">Assessing </w:t>
      </w:r>
      <w:r w:rsidR="00B93389" w:rsidRPr="008B760B">
        <w:rPr>
          <w:rFonts w:ascii="Garamond" w:hAnsi="Garamond"/>
          <w:b/>
          <w:sz w:val="28"/>
          <w:szCs w:val="28"/>
          <w:u w:val="single"/>
        </w:rPr>
        <w:t>the DEI EC</w:t>
      </w:r>
      <w:r w:rsidRPr="008B760B">
        <w:rPr>
          <w:rFonts w:ascii="Garamond" w:hAnsi="Garamond"/>
          <w:b/>
          <w:sz w:val="28"/>
          <w:szCs w:val="28"/>
          <w:u w:val="single"/>
        </w:rPr>
        <w:t xml:space="preserve"> </w:t>
      </w:r>
    </w:p>
    <w:p w14:paraId="3E0C1307" w14:textId="77777777" w:rsidR="00116B03" w:rsidRPr="00B77472" w:rsidRDefault="00B93389" w:rsidP="00B20B84">
      <w:pPr>
        <w:spacing w:line="240" w:lineRule="auto"/>
        <w:contextualSpacing/>
        <w:rPr>
          <w:rFonts w:ascii="Garamond" w:hAnsi="Garamond"/>
          <w:b/>
          <w:sz w:val="24"/>
          <w:szCs w:val="24"/>
        </w:rPr>
      </w:pPr>
      <w:r w:rsidRPr="00B77472">
        <w:rPr>
          <w:rFonts w:ascii="Garamond" w:hAnsi="Garamond"/>
          <w:b/>
          <w:sz w:val="24"/>
          <w:szCs w:val="24"/>
        </w:rPr>
        <w:t>Recommendation 1: Assessing DEI EC Courses</w:t>
      </w:r>
      <w:r w:rsidR="008C066A" w:rsidRPr="00B77472">
        <w:rPr>
          <w:rFonts w:ascii="Garamond" w:hAnsi="Garamond"/>
          <w:b/>
          <w:sz w:val="24"/>
          <w:szCs w:val="24"/>
        </w:rPr>
        <w:t>.</w:t>
      </w:r>
    </w:p>
    <w:p w14:paraId="48D2A1E4" w14:textId="77777777" w:rsidR="00770F81" w:rsidRPr="00770F81" w:rsidRDefault="009310CC" w:rsidP="00770F81">
      <w:pPr>
        <w:spacing w:line="240" w:lineRule="auto"/>
        <w:contextualSpacing/>
        <w:rPr>
          <w:rFonts w:ascii="Garamond" w:hAnsi="Garamond"/>
          <w:sz w:val="24"/>
          <w:szCs w:val="24"/>
        </w:rPr>
      </w:pPr>
      <w:r w:rsidRPr="00B77472">
        <w:rPr>
          <w:rFonts w:ascii="Garamond" w:hAnsi="Garamond"/>
          <w:sz w:val="24"/>
          <w:szCs w:val="24"/>
        </w:rPr>
        <w:t xml:space="preserve">Using the information faculty submitted when vetting courses for the DEI Essential Competency, the DEI EC Assessment </w:t>
      </w:r>
      <w:r w:rsidR="00FE4A3E" w:rsidRPr="00FE4A3E">
        <w:rPr>
          <w:rFonts w:ascii="Garamond" w:hAnsi="Garamond"/>
          <w:sz w:val="24"/>
          <w:szCs w:val="24"/>
        </w:rPr>
        <w:t>the DEI EC Assessment Subcommittee will collect a representative sample of DEI EC courses taught across colleges and schools in each academic year. In addition, the DEI EC Assessment Subcommittee will utilize a random sampling method to assess courses within a particular college or school to ensure that courses are not overrepresented or underrepresented from any single academic department or unit on campus</w:t>
      </w:r>
      <w:r w:rsidR="00FE4A3E" w:rsidRPr="00770F81">
        <w:rPr>
          <w:rFonts w:ascii="Garamond" w:hAnsi="Garamond"/>
          <w:sz w:val="24"/>
          <w:szCs w:val="24"/>
        </w:rPr>
        <w:t>.</w:t>
      </w:r>
      <w:r w:rsidR="00FE4A3E" w:rsidRPr="00770F81">
        <w:rPr>
          <w:rFonts w:ascii="Garamond" w:hAnsi="Garamond"/>
        </w:rPr>
        <w:t xml:space="preserve"> </w:t>
      </w:r>
      <w:r w:rsidR="00770F81" w:rsidRPr="00770F81">
        <w:rPr>
          <w:rFonts w:ascii="Garamond" w:hAnsi="Garamond"/>
          <w:sz w:val="24"/>
          <w:szCs w:val="24"/>
        </w:rPr>
        <w:t xml:space="preserve">The DEI EC Assessment Subcommittee will request artifacts of student learning indicated on the vetting forms, and review those artifacts to determine how well students met the DEI EC competency. The Assessment Subcommittee should work with the Director of </w:t>
      </w:r>
      <w:r w:rsidR="00770F81" w:rsidRPr="00770F81">
        <w:rPr>
          <w:rFonts w:ascii="Garamond" w:hAnsi="Garamond" w:cs="Arial"/>
          <w:sz w:val="24"/>
          <w:szCs w:val="24"/>
        </w:rPr>
        <w:t>Institutional Effectiveness and Institutional Accreditation</w:t>
      </w:r>
      <w:r w:rsidR="00770F81" w:rsidRPr="00770F81">
        <w:rPr>
          <w:rFonts w:ascii="Garamond" w:hAnsi="Garamond"/>
          <w:sz w:val="24"/>
          <w:szCs w:val="24"/>
        </w:rPr>
        <w:t xml:space="preserve"> to develop an appropriate assessment strategy and assessment tools that align with the competency statement for the DEI EC.</w:t>
      </w:r>
    </w:p>
    <w:p w14:paraId="34775A3A" w14:textId="2CD37F97" w:rsidR="009310CC" w:rsidRDefault="009310CC" w:rsidP="00210DF2">
      <w:pPr>
        <w:spacing w:line="240" w:lineRule="auto"/>
        <w:ind w:firstLine="720"/>
        <w:contextualSpacing/>
        <w:rPr>
          <w:rFonts w:ascii="Garamond" w:hAnsi="Garamond"/>
          <w:sz w:val="24"/>
          <w:szCs w:val="24"/>
        </w:rPr>
      </w:pPr>
      <w:r w:rsidRPr="00B77472">
        <w:rPr>
          <w:rFonts w:ascii="Garamond" w:hAnsi="Garamond"/>
          <w:sz w:val="24"/>
          <w:szCs w:val="24"/>
        </w:rPr>
        <w:t>The DEI EC Assessment Subcommittee will share outcomes of the assessment with faculty, widely, and especially with faculty who taught DEI EC course in that academic year.</w:t>
      </w:r>
    </w:p>
    <w:p w14:paraId="1766CD88" w14:textId="7C1D7525" w:rsidR="00B77472" w:rsidRDefault="00D662FC" w:rsidP="00210DF2">
      <w:pPr>
        <w:spacing w:line="240" w:lineRule="auto"/>
        <w:contextualSpacing/>
        <w:rPr>
          <w:rFonts w:ascii="Garamond" w:hAnsi="Garamond"/>
          <w:sz w:val="24"/>
          <w:szCs w:val="24"/>
        </w:rPr>
      </w:pPr>
      <w:r>
        <w:rPr>
          <w:rFonts w:ascii="Garamond" w:hAnsi="Garamond"/>
          <w:sz w:val="24"/>
          <w:szCs w:val="24"/>
        </w:rPr>
        <w:tab/>
      </w:r>
      <w:r w:rsidR="00D85481">
        <w:rPr>
          <w:rFonts w:ascii="Garamond" w:hAnsi="Garamond"/>
          <w:sz w:val="24"/>
          <w:szCs w:val="24"/>
        </w:rPr>
        <w:t xml:space="preserve">Because of the nature of addressing DEI in a classroom setting, it is important to have a more frequent and robust assessment plan and cycle to help ensure </w:t>
      </w:r>
      <w:r w:rsidR="7A366921">
        <w:rPr>
          <w:rFonts w:ascii="Garamond" w:hAnsi="Garamond"/>
          <w:sz w:val="24"/>
          <w:szCs w:val="24"/>
        </w:rPr>
        <w:t xml:space="preserve">that </w:t>
      </w:r>
      <w:r w:rsidR="00D85481">
        <w:rPr>
          <w:rFonts w:ascii="Garamond" w:hAnsi="Garamond"/>
          <w:sz w:val="24"/>
          <w:szCs w:val="24"/>
        </w:rPr>
        <w:t>we are achieving our stated goals.</w:t>
      </w:r>
      <w:r w:rsidR="00890E8F">
        <w:rPr>
          <w:rFonts w:ascii="Garamond" w:hAnsi="Garamond"/>
          <w:sz w:val="24"/>
          <w:szCs w:val="24"/>
        </w:rPr>
        <w:t xml:space="preserve"> </w:t>
      </w:r>
      <w:r w:rsidR="00B77472" w:rsidRPr="00B77472">
        <w:rPr>
          <w:rFonts w:ascii="Garamond" w:hAnsi="Garamond"/>
          <w:sz w:val="24"/>
          <w:szCs w:val="24"/>
        </w:rPr>
        <w:t>See the DEI EC Committee Charter document</w:t>
      </w:r>
      <w:r w:rsidR="00B77472">
        <w:rPr>
          <w:rFonts w:ascii="Garamond" w:hAnsi="Garamond"/>
          <w:sz w:val="24"/>
          <w:szCs w:val="24"/>
        </w:rPr>
        <w:t xml:space="preserve"> for more detail</w:t>
      </w:r>
      <w:r w:rsidR="00B77472" w:rsidRPr="00B77472">
        <w:rPr>
          <w:rFonts w:ascii="Garamond" w:hAnsi="Garamond"/>
          <w:sz w:val="24"/>
          <w:szCs w:val="24"/>
        </w:rPr>
        <w:t>.</w:t>
      </w:r>
    </w:p>
    <w:p w14:paraId="3656B9AB" w14:textId="77777777" w:rsidR="00203A89" w:rsidRPr="00B77472" w:rsidRDefault="00203A89" w:rsidP="00203A89">
      <w:pPr>
        <w:spacing w:line="240" w:lineRule="auto"/>
        <w:contextualSpacing/>
        <w:rPr>
          <w:rFonts w:ascii="Garamond" w:hAnsi="Garamond"/>
          <w:sz w:val="24"/>
          <w:szCs w:val="24"/>
        </w:rPr>
      </w:pPr>
    </w:p>
    <w:p w14:paraId="68244429" w14:textId="77777777" w:rsidR="00B93389" w:rsidRPr="00B77472" w:rsidRDefault="00B93389" w:rsidP="00B20B84">
      <w:pPr>
        <w:spacing w:line="240" w:lineRule="auto"/>
        <w:contextualSpacing/>
        <w:rPr>
          <w:rFonts w:ascii="Garamond" w:hAnsi="Garamond"/>
          <w:b/>
          <w:sz w:val="24"/>
          <w:szCs w:val="24"/>
        </w:rPr>
      </w:pPr>
      <w:r w:rsidRPr="00B77472">
        <w:rPr>
          <w:rFonts w:ascii="Garamond" w:hAnsi="Garamond"/>
          <w:b/>
          <w:sz w:val="24"/>
          <w:szCs w:val="24"/>
        </w:rPr>
        <w:t xml:space="preserve">Recommendation 2: </w:t>
      </w:r>
      <w:r w:rsidR="008C066A" w:rsidRPr="00B77472">
        <w:rPr>
          <w:rFonts w:ascii="Garamond" w:hAnsi="Garamond"/>
          <w:b/>
          <w:sz w:val="24"/>
          <w:szCs w:val="24"/>
        </w:rPr>
        <w:t>Assessment of learning goals/institutional goals.</w:t>
      </w:r>
    </w:p>
    <w:p w14:paraId="304D2C3F" w14:textId="20DE4B03" w:rsidR="004A2FDA" w:rsidRDefault="00D032F4" w:rsidP="000E0E07">
      <w:pPr>
        <w:spacing w:line="240" w:lineRule="auto"/>
        <w:ind w:firstLine="720"/>
        <w:contextualSpacing/>
        <w:rPr>
          <w:rFonts w:ascii="Garamond" w:hAnsi="Garamond"/>
          <w:sz w:val="24"/>
          <w:szCs w:val="24"/>
        </w:rPr>
      </w:pPr>
      <w:r w:rsidRPr="00B77472">
        <w:rPr>
          <w:rFonts w:ascii="Garamond" w:hAnsi="Garamond"/>
          <w:sz w:val="24"/>
          <w:szCs w:val="24"/>
        </w:rPr>
        <w:t xml:space="preserve">On a periodic basis, the </w:t>
      </w:r>
      <w:r w:rsidR="00B20B84" w:rsidRPr="00B77472">
        <w:rPr>
          <w:rFonts w:ascii="Garamond" w:hAnsi="Garamond"/>
          <w:sz w:val="24"/>
          <w:szCs w:val="24"/>
        </w:rPr>
        <w:t xml:space="preserve">DEI Essential Competency Committee and Assessment Subcommittee will </w:t>
      </w:r>
      <w:r w:rsidRPr="00B77472">
        <w:rPr>
          <w:rFonts w:ascii="Garamond" w:hAnsi="Garamond"/>
          <w:sz w:val="24"/>
          <w:szCs w:val="24"/>
        </w:rPr>
        <w:t>conduct a larger assessment. W</w:t>
      </w:r>
      <w:r w:rsidR="00B20B84" w:rsidRPr="00B77472">
        <w:rPr>
          <w:rFonts w:ascii="Garamond" w:hAnsi="Garamond"/>
          <w:sz w:val="24"/>
          <w:szCs w:val="24"/>
        </w:rPr>
        <w:t>ork</w:t>
      </w:r>
      <w:r w:rsidRPr="00B77472">
        <w:rPr>
          <w:rFonts w:ascii="Garamond" w:hAnsi="Garamond"/>
          <w:sz w:val="24"/>
          <w:szCs w:val="24"/>
        </w:rPr>
        <w:t xml:space="preserve">ing </w:t>
      </w:r>
      <w:r w:rsidR="00B20B84" w:rsidRPr="00B77472">
        <w:rPr>
          <w:rFonts w:ascii="Garamond" w:hAnsi="Garamond"/>
          <w:sz w:val="24"/>
          <w:szCs w:val="24"/>
        </w:rPr>
        <w:t xml:space="preserve">with </w:t>
      </w:r>
      <w:r w:rsidR="7A366921" w:rsidRPr="00B77472">
        <w:rPr>
          <w:rFonts w:ascii="Garamond" w:hAnsi="Garamond"/>
          <w:sz w:val="24"/>
          <w:szCs w:val="24"/>
        </w:rPr>
        <w:t xml:space="preserve">the </w:t>
      </w:r>
      <w:r w:rsidR="00B20B84" w:rsidRPr="00B77472">
        <w:rPr>
          <w:rFonts w:ascii="Garamond" w:hAnsi="Garamond"/>
          <w:sz w:val="24"/>
          <w:szCs w:val="24"/>
        </w:rPr>
        <w:t xml:space="preserve">Director of </w:t>
      </w:r>
      <w:r w:rsidR="00B20B84" w:rsidRPr="00B77472">
        <w:rPr>
          <w:rFonts w:ascii="Garamond" w:hAnsi="Garamond" w:cs="Arial"/>
          <w:sz w:val="24"/>
          <w:szCs w:val="24"/>
        </w:rPr>
        <w:t>Institutional Effectiveness and Institutional Accreditation</w:t>
      </w:r>
      <w:r w:rsidRPr="00B77472">
        <w:rPr>
          <w:rFonts w:ascii="Garamond" w:hAnsi="Garamond" w:cs="Arial"/>
          <w:sz w:val="24"/>
          <w:szCs w:val="24"/>
        </w:rPr>
        <w:t>, the DEI EC</w:t>
      </w:r>
      <w:r w:rsidR="00B77472" w:rsidRPr="00B77472">
        <w:rPr>
          <w:rFonts w:ascii="Garamond" w:hAnsi="Garamond" w:cs="Arial"/>
          <w:sz w:val="24"/>
          <w:szCs w:val="24"/>
        </w:rPr>
        <w:t xml:space="preserve"> Committee and Assessment Subcommittee will c</w:t>
      </w:r>
      <w:r w:rsidR="00B20B84" w:rsidRPr="00B77472">
        <w:rPr>
          <w:rFonts w:ascii="Garamond" w:hAnsi="Garamond"/>
          <w:sz w:val="24"/>
          <w:szCs w:val="24"/>
        </w:rPr>
        <w:t>reate a brief survey aligned with concepts in the Intercultural Competence work</w:t>
      </w:r>
      <w:r w:rsidR="00113F33">
        <w:rPr>
          <w:rFonts w:ascii="Garamond" w:hAnsi="Garamond"/>
          <w:sz w:val="24"/>
          <w:szCs w:val="24"/>
        </w:rPr>
        <w:t>,</w:t>
      </w:r>
      <w:r w:rsidR="00B20B84" w:rsidRPr="00B77472">
        <w:rPr>
          <w:rFonts w:ascii="Garamond" w:hAnsi="Garamond"/>
          <w:sz w:val="24"/>
          <w:szCs w:val="24"/>
        </w:rPr>
        <w:t xml:space="preserve"> designed to capture data </w:t>
      </w:r>
      <w:r w:rsidRPr="00B77472">
        <w:rPr>
          <w:rFonts w:ascii="Garamond" w:hAnsi="Garamond"/>
          <w:sz w:val="24"/>
          <w:szCs w:val="24"/>
        </w:rPr>
        <w:t xml:space="preserve">relevant </w:t>
      </w:r>
    </w:p>
    <w:p w14:paraId="0268E097" w14:textId="46A12D21" w:rsidR="00D032F4" w:rsidRPr="00B77472" w:rsidRDefault="00D032F4" w:rsidP="004A2FDA">
      <w:pPr>
        <w:spacing w:line="240" w:lineRule="auto"/>
        <w:contextualSpacing/>
        <w:rPr>
          <w:rFonts w:ascii="Garamond" w:hAnsi="Garamond"/>
          <w:sz w:val="24"/>
          <w:szCs w:val="24"/>
        </w:rPr>
      </w:pPr>
      <w:r w:rsidRPr="00B77472">
        <w:rPr>
          <w:rFonts w:ascii="Garamond" w:hAnsi="Garamond"/>
          <w:sz w:val="24"/>
          <w:szCs w:val="24"/>
        </w:rPr>
        <w:t>to DEI efforts in the DEI EC</w:t>
      </w:r>
      <w:r w:rsidR="00FE4A3E">
        <w:rPr>
          <w:rFonts w:ascii="Garamond" w:hAnsi="Garamond"/>
          <w:sz w:val="24"/>
          <w:szCs w:val="24"/>
        </w:rPr>
        <w:t>. Fa</w:t>
      </w:r>
      <w:r w:rsidRPr="00B77472">
        <w:rPr>
          <w:rFonts w:ascii="Garamond" w:hAnsi="Garamond"/>
          <w:sz w:val="24"/>
          <w:szCs w:val="24"/>
        </w:rPr>
        <w:t>culty teaching the DEI EC and students enrolled in those courses will complete the survey.</w:t>
      </w:r>
    </w:p>
    <w:p w14:paraId="74A83CD2" w14:textId="5077F9D8" w:rsidR="00D032F4" w:rsidRPr="00B77472" w:rsidRDefault="00D662FC" w:rsidP="00D662FC">
      <w:pPr>
        <w:spacing w:line="240" w:lineRule="auto"/>
        <w:contextualSpacing/>
        <w:rPr>
          <w:rFonts w:ascii="Garamond" w:hAnsi="Garamond"/>
          <w:sz w:val="24"/>
          <w:szCs w:val="24"/>
        </w:rPr>
      </w:pPr>
      <w:r>
        <w:rPr>
          <w:rFonts w:ascii="Garamond" w:hAnsi="Garamond"/>
          <w:sz w:val="24"/>
          <w:szCs w:val="24"/>
        </w:rPr>
        <w:tab/>
      </w:r>
      <w:r w:rsidR="00D032F4" w:rsidRPr="00B77472">
        <w:rPr>
          <w:rFonts w:ascii="Garamond" w:hAnsi="Garamond"/>
          <w:sz w:val="24"/>
          <w:szCs w:val="24"/>
        </w:rPr>
        <w:t xml:space="preserve">The DEI Essential Competency Committee and Assessment Subcommittee will </w:t>
      </w:r>
      <w:r w:rsidR="00B77472" w:rsidRPr="00B77472">
        <w:rPr>
          <w:rFonts w:ascii="Garamond" w:hAnsi="Garamond"/>
          <w:sz w:val="24"/>
          <w:szCs w:val="24"/>
        </w:rPr>
        <w:t xml:space="preserve">also </w:t>
      </w:r>
      <w:r w:rsidR="00D032F4" w:rsidRPr="00B77472">
        <w:rPr>
          <w:rFonts w:ascii="Garamond" w:hAnsi="Garamond"/>
          <w:sz w:val="24"/>
          <w:szCs w:val="24"/>
        </w:rPr>
        <w:t xml:space="preserve">develop a checklist/brief report form to be </w:t>
      </w:r>
      <w:r w:rsidR="00D032F4" w:rsidRPr="00FE4A3E">
        <w:rPr>
          <w:rFonts w:ascii="Garamond" w:hAnsi="Garamond"/>
          <w:sz w:val="24"/>
          <w:szCs w:val="24"/>
        </w:rPr>
        <w:t xml:space="preserve">requested </w:t>
      </w:r>
      <w:r w:rsidR="00FE4A3E" w:rsidRPr="00FE4A3E">
        <w:rPr>
          <w:rFonts w:ascii="Garamond" w:hAnsi="Garamond"/>
          <w:sz w:val="24"/>
          <w:szCs w:val="24"/>
        </w:rPr>
        <w:t>of a college/school-level representative selection of randomly sampled DEI EC courses taught that academic year</w:t>
      </w:r>
      <w:r w:rsidR="00D032F4" w:rsidRPr="00FE4A3E">
        <w:rPr>
          <w:rFonts w:ascii="Garamond" w:hAnsi="Garamond"/>
          <w:sz w:val="24"/>
          <w:szCs w:val="24"/>
        </w:rPr>
        <w:t>.</w:t>
      </w:r>
      <w:r w:rsidR="00B77472" w:rsidRPr="00B77472">
        <w:rPr>
          <w:rFonts w:ascii="Garamond" w:hAnsi="Garamond"/>
          <w:sz w:val="24"/>
          <w:szCs w:val="24"/>
        </w:rPr>
        <w:t xml:space="preserve"> The checklist/brief report would ask the instructor to collect and report information relating to relevant learning goals and DEI outcomes, and artifacts of student learning.</w:t>
      </w:r>
    </w:p>
    <w:p w14:paraId="267822EA" w14:textId="79FDEE80" w:rsidR="00B8051F" w:rsidRDefault="00D662FC" w:rsidP="00D662FC">
      <w:pPr>
        <w:spacing w:line="240" w:lineRule="auto"/>
        <w:contextualSpacing/>
        <w:rPr>
          <w:rFonts w:ascii="Garamond" w:hAnsi="Garamond"/>
          <w:sz w:val="24"/>
          <w:szCs w:val="24"/>
        </w:rPr>
      </w:pPr>
      <w:r>
        <w:rPr>
          <w:rFonts w:ascii="Garamond" w:hAnsi="Garamond"/>
          <w:sz w:val="24"/>
          <w:szCs w:val="24"/>
        </w:rPr>
        <w:tab/>
      </w:r>
      <w:r w:rsidR="00D032F4" w:rsidRPr="00B77472">
        <w:rPr>
          <w:rFonts w:ascii="Garamond" w:hAnsi="Garamond"/>
          <w:sz w:val="24"/>
          <w:szCs w:val="24"/>
        </w:rPr>
        <w:t xml:space="preserve">The DEI EC Vetting Committee and Assessment Subcommittee, working with the Director of </w:t>
      </w:r>
      <w:r w:rsidR="00D032F4" w:rsidRPr="00B77472">
        <w:rPr>
          <w:rFonts w:ascii="Garamond" w:hAnsi="Garamond" w:cs="Arial"/>
          <w:sz w:val="24"/>
          <w:szCs w:val="24"/>
        </w:rPr>
        <w:t>Institutional Effectiveness and Institutional Accreditation</w:t>
      </w:r>
      <w:r w:rsidR="00802FE7">
        <w:rPr>
          <w:rFonts w:ascii="Garamond" w:hAnsi="Garamond" w:cs="Arial"/>
          <w:sz w:val="24"/>
          <w:szCs w:val="24"/>
        </w:rPr>
        <w:t>,</w:t>
      </w:r>
      <w:r w:rsidR="00D032F4" w:rsidRPr="00B77472">
        <w:rPr>
          <w:rFonts w:ascii="Garamond" w:hAnsi="Garamond" w:cs="Arial"/>
          <w:sz w:val="24"/>
          <w:szCs w:val="24"/>
        </w:rPr>
        <w:t xml:space="preserve"> will determine how frequently to conduct the survey described above</w:t>
      </w:r>
      <w:r w:rsidR="00B77472" w:rsidRPr="00B77472">
        <w:rPr>
          <w:rFonts w:ascii="Garamond" w:hAnsi="Garamond" w:cs="Arial"/>
          <w:sz w:val="24"/>
          <w:szCs w:val="24"/>
        </w:rPr>
        <w:t xml:space="preserve">, and </w:t>
      </w:r>
      <w:r w:rsidR="00802FE7">
        <w:rPr>
          <w:rFonts w:ascii="Garamond" w:hAnsi="Garamond"/>
          <w:sz w:val="24"/>
          <w:szCs w:val="24"/>
        </w:rPr>
        <w:t>t</w:t>
      </w:r>
      <w:r w:rsidR="00D032F4" w:rsidRPr="00B77472">
        <w:rPr>
          <w:rFonts w:ascii="Garamond" w:hAnsi="Garamond"/>
          <w:sz w:val="24"/>
          <w:szCs w:val="24"/>
        </w:rPr>
        <w:t xml:space="preserve">he DEI EC Assessment Subcommittee will share outcomes of these </w:t>
      </w:r>
    </w:p>
    <w:p w14:paraId="6E076CBA" w14:textId="0EBA91CD" w:rsidR="00D032F4" w:rsidRPr="00B77472" w:rsidRDefault="00D032F4" w:rsidP="00D662FC">
      <w:pPr>
        <w:spacing w:line="240" w:lineRule="auto"/>
        <w:contextualSpacing/>
        <w:rPr>
          <w:rFonts w:ascii="Garamond" w:hAnsi="Garamond"/>
          <w:sz w:val="24"/>
          <w:szCs w:val="24"/>
        </w:rPr>
      </w:pPr>
      <w:r w:rsidRPr="00B77472">
        <w:rPr>
          <w:rFonts w:ascii="Garamond" w:hAnsi="Garamond"/>
          <w:sz w:val="24"/>
          <w:szCs w:val="24"/>
        </w:rPr>
        <w:t>assessment tools with faculty, widely, and especially with faculty who taught DEI EC course in that academic year.</w:t>
      </w:r>
    </w:p>
    <w:p w14:paraId="4AEB7B0F" w14:textId="0AF081F8" w:rsidR="00B20B84" w:rsidRDefault="00D662FC" w:rsidP="00D662FC">
      <w:pPr>
        <w:spacing w:line="240" w:lineRule="auto"/>
        <w:contextualSpacing/>
        <w:rPr>
          <w:rFonts w:ascii="Garamond" w:hAnsi="Garamond"/>
          <w:sz w:val="24"/>
          <w:szCs w:val="24"/>
        </w:rPr>
      </w:pPr>
      <w:r>
        <w:rPr>
          <w:rFonts w:ascii="Garamond" w:hAnsi="Garamond"/>
          <w:sz w:val="24"/>
          <w:szCs w:val="24"/>
        </w:rPr>
        <w:tab/>
      </w:r>
      <w:r w:rsidR="0083719D">
        <w:rPr>
          <w:rFonts w:ascii="Garamond" w:hAnsi="Garamond"/>
          <w:sz w:val="24"/>
          <w:szCs w:val="24"/>
        </w:rPr>
        <w:t xml:space="preserve">Because the of the nature of the importance of the work of DEI to the TCU campus, it is important to have a more frequent and robust assessment plan and cycle that includes an evaluation of the contributions the DEI EC makes to larger institutional goals. </w:t>
      </w:r>
      <w:r w:rsidR="00D032F4" w:rsidRPr="00B77472">
        <w:rPr>
          <w:rFonts w:ascii="Garamond" w:hAnsi="Garamond"/>
          <w:sz w:val="24"/>
          <w:szCs w:val="24"/>
        </w:rPr>
        <w:t>See</w:t>
      </w:r>
      <w:r w:rsidR="00B77472" w:rsidRPr="00B77472">
        <w:rPr>
          <w:rFonts w:ascii="Garamond" w:hAnsi="Garamond"/>
          <w:sz w:val="24"/>
          <w:szCs w:val="24"/>
        </w:rPr>
        <w:t xml:space="preserve"> </w:t>
      </w:r>
      <w:r w:rsidR="00D032F4" w:rsidRPr="00B77472">
        <w:rPr>
          <w:rFonts w:ascii="Garamond" w:hAnsi="Garamond"/>
          <w:sz w:val="24"/>
          <w:szCs w:val="24"/>
        </w:rPr>
        <w:t>the Assessment Process in the DEI EC Vetting Committee Charter</w:t>
      </w:r>
      <w:r w:rsidR="00B77472" w:rsidRPr="00B77472">
        <w:rPr>
          <w:rFonts w:ascii="Garamond" w:hAnsi="Garamond"/>
          <w:sz w:val="24"/>
          <w:szCs w:val="24"/>
        </w:rPr>
        <w:t xml:space="preserve"> for more detail.</w:t>
      </w:r>
    </w:p>
    <w:p w14:paraId="47B6AC55" w14:textId="45FE1D48" w:rsidR="000E0E07" w:rsidRDefault="000E0E07" w:rsidP="00D662FC">
      <w:pPr>
        <w:spacing w:line="240" w:lineRule="auto"/>
        <w:contextualSpacing/>
        <w:rPr>
          <w:rFonts w:ascii="Garamond" w:hAnsi="Garamond"/>
          <w:sz w:val="24"/>
          <w:szCs w:val="24"/>
        </w:rPr>
      </w:pPr>
    </w:p>
    <w:p w14:paraId="40B63C48" w14:textId="77777777" w:rsidR="000E0E07" w:rsidRDefault="000E0E07" w:rsidP="00D662FC">
      <w:pPr>
        <w:spacing w:line="240" w:lineRule="auto"/>
        <w:contextualSpacing/>
        <w:rPr>
          <w:rFonts w:ascii="Garamond" w:hAnsi="Garamond"/>
          <w:sz w:val="24"/>
          <w:szCs w:val="24"/>
        </w:rPr>
      </w:pPr>
      <w:bookmarkStart w:id="0" w:name="_GoBack"/>
      <w:bookmarkEnd w:id="0"/>
    </w:p>
    <w:p w14:paraId="0DD3F563" w14:textId="77777777" w:rsidR="004A2FDA" w:rsidRDefault="004A2FDA" w:rsidP="00D662FC">
      <w:pPr>
        <w:spacing w:line="240" w:lineRule="auto"/>
        <w:contextualSpacing/>
        <w:rPr>
          <w:rFonts w:ascii="Garamond" w:hAnsi="Garamond"/>
          <w:sz w:val="24"/>
          <w:szCs w:val="24"/>
        </w:rPr>
      </w:pPr>
    </w:p>
    <w:p w14:paraId="45FB0818" w14:textId="77777777" w:rsidR="00364C61" w:rsidRDefault="00364C61" w:rsidP="00D662FC">
      <w:pPr>
        <w:spacing w:line="240" w:lineRule="auto"/>
        <w:contextualSpacing/>
        <w:rPr>
          <w:rFonts w:ascii="Garamond" w:hAnsi="Garamond"/>
          <w:sz w:val="24"/>
          <w:szCs w:val="24"/>
        </w:rPr>
      </w:pPr>
    </w:p>
    <w:p w14:paraId="404640A0" w14:textId="4DBEEB64" w:rsidR="00A52BAE" w:rsidRPr="00480BE9" w:rsidRDefault="00A52BAE" w:rsidP="00116B03">
      <w:pPr>
        <w:spacing w:line="240" w:lineRule="auto"/>
        <w:contextualSpacing/>
        <w:rPr>
          <w:rFonts w:ascii="Garamond" w:hAnsi="Garamond"/>
          <w:b/>
          <w:sz w:val="28"/>
          <w:u w:val="single"/>
        </w:rPr>
      </w:pPr>
      <w:r w:rsidRPr="00480BE9">
        <w:rPr>
          <w:rFonts w:ascii="Garamond" w:hAnsi="Garamond"/>
          <w:b/>
          <w:sz w:val="28"/>
          <w:u w:val="single"/>
        </w:rPr>
        <w:t>Professional Development/Pedagogical Training for Faculty</w:t>
      </w:r>
    </w:p>
    <w:p w14:paraId="4ECBA5AB" w14:textId="77777777" w:rsidR="00AE04BA" w:rsidRDefault="00AE04BA" w:rsidP="00AE04BA">
      <w:pPr>
        <w:spacing w:line="240" w:lineRule="auto"/>
        <w:contextualSpacing/>
        <w:rPr>
          <w:rFonts w:ascii="Garamond" w:hAnsi="Garamond"/>
          <w:b/>
          <w:color w:val="000000"/>
          <w:sz w:val="24"/>
        </w:rPr>
      </w:pPr>
      <w:r w:rsidRPr="00AE04BA">
        <w:rPr>
          <w:rFonts w:ascii="Garamond" w:hAnsi="Garamond"/>
          <w:b/>
          <w:color w:val="000000"/>
          <w:sz w:val="24"/>
        </w:rPr>
        <w:t>Recommendation</w:t>
      </w:r>
      <w:r>
        <w:rPr>
          <w:rFonts w:ascii="Garamond" w:hAnsi="Garamond"/>
          <w:b/>
          <w:color w:val="000000"/>
          <w:sz w:val="24"/>
        </w:rPr>
        <w:t>:</w:t>
      </w:r>
    </w:p>
    <w:p w14:paraId="6CC72BCE" w14:textId="30594534" w:rsidR="005978E8" w:rsidRDefault="005978E8" w:rsidP="00D662FC">
      <w:pPr>
        <w:spacing w:line="240" w:lineRule="auto"/>
        <w:ind w:firstLine="720"/>
        <w:contextualSpacing/>
        <w:rPr>
          <w:rFonts w:ascii="Garamond" w:hAnsi="Garamond"/>
          <w:color w:val="000000" w:themeColor="text1"/>
          <w:sz w:val="24"/>
          <w:szCs w:val="24"/>
        </w:rPr>
      </w:pPr>
      <w:r w:rsidRPr="00AE04BA">
        <w:rPr>
          <w:rFonts w:ascii="Garamond" w:hAnsi="Garamond"/>
          <w:color w:val="000000" w:themeColor="text1"/>
          <w:sz w:val="24"/>
          <w:szCs w:val="24"/>
        </w:rPr>
        <w:t>All instructors teaching DEI Essential Competency overlay courses must complete a professional development workshop focused on pedagogy at least once every five years. The DEI Essential Competency Committee, working with the Director of the Core Curriculum, will maintain records of faculty who have completed the required training. Faculty new to TCU should not teach DEI EC overlay courses during their first year on campus. The purpose is to avoid overloading new faculty in their first year, especially faculty from historically underrepresented groups, and to give new faculty time to acclimate to TCU.</w:t>
      </w:r>
    </w:p>
    <w:p w14:paraId="6EA6E0EC" w14:textId="77777777" w:rsidR="005978E8" w:rsidRPr="00AE04BA" w:rsidRDefault="005978E8" w:rsidP="00D662FC">
      <w:pPr>
        <w:spacing w:line="240" w:lineRule="auto"/>
        <w:ind w:firstLine="720"/>
        <w:contextualSpacing/>
        <w:rPr>
          <w:rFonts w:ascii="Garamond" w:hAnsi="Garamond"/>
          <w:u w:val="single"/>
        </w:rPr>
      </w:pPr>
      <w:r w:rsidRPr="00AE04BA">
        <w:rPr>
          <w:rFonts w:ascii="Garamond" w:hAnsi="Garamond"/>
          <w:color w:val="000000"/>
          <w:sz w:val="24"/>
          <w:szCs w:val="24"/>
        </w:rPr>
        <w:t>Dr. Claire Sanders is working to create the professional development</w:t>
      </w:r>
      <w:r w:rsidRPr="00AE04BA">
        <w:rPr>
          <w:rFonts w:ascii="Garamond" w:hAnsi="Garamond"/>
          <w:color w:val="000000" w:themeColor="text1"/>
          <w:sz w:val="24"/>
          <w:szCs w:val="24"/>
        </w:rPr>
        <w:t xml:space="preserve"> workshop focused on pedagogy.</w:t>
      </w:r>
    </w:p>
    <w:sectPr w:rsidR="005978E8" w:rsidRPr="00AE04BA" w:rsidSect="00802FE7">
      <w:headerReference w:type="default" r:id="rId8"/>
      <w:footerReference w:type="default" r:id="rId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1E01" w14:textId="77777777" w:rsidR="00DE2B30" w:rsidRDefault="00DE2B30" w:rsidP="00751FE9">
      <w:pPr>
        <w:spacing w:after="0" w:line="240" w:lineRule="auto"/>
      </w:pPr>
      <w:r>
        <w:separator/>
      </w:r>
    </w:p>
  </w:endnote>
  <w:endnote w:type="continuationSeparator" w:id="0">
    <w:p w14:paraId="41BF8BFC" w14:textId="77777777" w:rsidR="00DE2B30" w:rsidRDefault="00DE2B30" w:rsidP="0075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774977"/>
      <w:docPartObj>
        <w:docPartGallery w:val="Page Numbers (Bottom of Page)"/>
        <w:docPartUnique/>
      </w:docPartObj>
    </w:sdtPr>
    <w:sdtEndPr>
      <w:rPr>
        <w:rFonts w:ascii="Garamond" w:hAnsi="Garamond"/>
        <w:noProof/>
      </w:rPr>
    </w:sdtEndPr>
    <w:sdtContent>
      <w:p w14:paraId="50230CC7" w14:textId="77777777" w:rsidR="00130F74" w:rsidRPr="00130F74" w:rsidRDefault="00130F74">
        <w:pPr>
          <w:pStyle w:val="Footer"/>
          <w:jc w:val="right"/>
          <w:rPr>
            <w:rFonts w:ascii="Garamond" w:hAnsi="Garamond"/>
          </w:rPr>
        </w:pPr>
        <w:r w:rsidRPr="00130F74">
          <w:rPr>
            <w:rFonts w:ascii="Garamond" w:hAnsi="Garamond"/>
          </w:rPr>
          <w:fldChar w:fldCharType="begin"/>
        </w:r>
        <w:r w:rsidRPr="00130F74">
          <w:rPr>
            <w:rFonts w:ascii="Garamond" w:hAnsi="Garamond"/>
          </w:rPr>
          <w:instrText xml:space="preserve"> PAGE   \* MERGEFORMAT </w:instrText>
        </w:r>
        <w:r w:rsidRPr="00130F74">
          <w:rPr>
            <w:rFonts w:ascii="Garamond" w:hAnsi="Garamond"/>
          </w:rPr>
          <w:fldChar w:fldCharType="separate"/>
        </w:r>
        <w:r w:rsidR="00113F33">
          <w:rPr>
            <w:rFonts w:ascii="Garamond" w:hAnsi="Garamond"/>
            <w:noProof/>
          </w:rPr>
          <w:t>3</w:t>
        </w:r>
        <w:r w:rsidRPr="00130F74">
          <w:rPr>
            <w:rFonts w:ascii="Garamond" w:hAnsi="Garamond"/>
            <w:noProof/>
          </w:rPr>
          <w:fldChar w:fldCharType="end"/>
        </w:r>
      </w:p>
    </w:sdtContent>
  </w:sdt>
  <w:p w14:paraId="3461D779" w14:textId="77777777" w:rsidR="00130F74" w:rsidRDefault="00130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25BA4" w14:textId="77777777" w:rsidR="00DE2B30" w:rsidRDefault="00DE2B30" w:rsidP="00751FE9">
      <w:pPr>
        <w:spacing w:after="0" w:line="240" w:lineRule="auto"/>
      </w:pPr>
      <w:r>
        <w:separator/>
      </w:r>
    </w:p>
  </w:footnote>
  <w:footnote w:type="continuationSeparator" w:id="0">
    <w:p w14:paraId="7A25A62B" w14:textId="77777777" w:rsidR="00DE2B30" w:rsidRDefault="00DE2B30" w:rsidP="00751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7BB8" w14:textId="77777777" w:rsidR="00751FE9" w:rsidRPr="005978E8" w:rsidRDefault="00751FE9" w:rsidP="00751FE9">
    <w:pPr>
      <w:pStyle w:val="Header"/>
      <w:jc w:val="center"/>
      <w:rPr>
        <w:rFonts w:ascii="Garamond" w:hAnsi="Garamond" w:cstheme="minorHAnsi"/>
      </w:rPr>
    </w:pPr>
    <w:r w:rsidRPr="005978E8">
      <w:rPr>
        <w:rFonts w:ascii="Garamond" w:hAnsi="Garamond" w:cstheme="minorHAnsi"/>
        <w:b/>
        <w:sz w:val="32"/>
      </w:rPr>
      <w:t>TCU Core Curriculum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4FEA"/>
    <w:multiLevelType w:val="hybridMultilevel"/>
    <w:tmpl w:val="28E07358"/>
    <w:lvl w:ilvl="0" w:tplc="67EEB49A">
      <w:numFmt w:val="bullet"/>
      <w:lvlText w:val=""/>
      <w:lvlJc w:val="left"/>
      <w:pPr>
        <w:ind w:left="1192" w:hanging="360"/>
      </w:pPr>
      <w:rPr>
        <w:rFonts w:ascii="Symbol" w:eastAsia="Symbol" w:hAnsi="Symbol" w:cs="Symbol" w:hint="default"/>
        <w:w w:val="100"/>
        <w:sz w:val="22"/>
        <w:szCs w:val="22"/>
      </w:rPr>
    </w:lvl>
    <w:lvl w:ilvl="1" w:tplc="EF5886B2">
      <w:numFmt w:val="bullet"/>
      <w:lvlText w:val="•"/>
      <w:lvlJc w:val="left"/>
      <w:pPr>
        <w:ind w:left="2096" w:hanging="360"/>
      </w:pPr>
      <w:rPr>
        <w:rFonts w:hint="default"/>
      </w:rPr>
    </w:lvl>
    <w:lvl w:ilvl="2" w:tplc="DD4E7E3C">
      <w:numFmt w:val="bullet"/>
      <w:lvlText w:val="•"/>
      <w:lvlJc w:val="left"/>
      <w:pPr>
        <w:ind w:left="2992" w:hanging="360"/>
      </w:pPr>
      <w:rPr>
        <w:rFonts w:hint="default"/>
      </w:rPr>
    </w:lvl>
    <w:lvl w:ilvl="3" w:tplc="34843126">
      <w:numFmt w:val="bullet"/>
      <w:lvlText w:val="•"/>
      <w:lvlJc w:val="left"/>
      <w:pPr>
        <w:ind w:left="3888" w:hanging="360"/>
      </w:pPr>
      <w:rPr>
        <w:rFonts w:hint="default"/>
      </w:rPr>
    </w:lvl>
    <w:lvl w:ilvl="4" w:tplc="E9E457F6">
      <w:numFmt w:val="bullet"/>
      <w:lvlText w:val="•"/>
      <w:lvlJc w:val="left"/>
      <w:pPr>
        <w:ind w:left="4784" w:hanging="360"/>
      </w:pPr>
      <w:rPr>
        <w:rFonts w:hint="default"/>
      </w:rPr>
    </w:lvl>
    <w:lvl w:ilvl="5" w:tplc="ED28CA6E">
      <w:numFmt w:val="bullet"/>
      <w:lvlText w:val="•"/>
      <w:lvlJc w:val="left"/>
      <w:pPr>
        <w:ind w:left="5680" w:hanging="360"/>
      </w:pPr>
      <w:rPr>
        <w:rFonts w:hint="default"/>
      </w:rPr>
    </w:lvl>
    <w:lvl w:ilvl="6" w:tplc="5A90D10C">
      <w:numFmt w:val="bullet"/>
      <w:lvlText w:val="•"/>
      <w:lvlJc w:val="left"/>
      <w:pPr>
        <w:ind w:left="6576" w:hanging="360"/>
      </w:pPr>
      <w:rPr>
        <w:rFonts w:hint="default"/>
      </w:rPr>
    </w:lvl>
    <w:lvl w:ilvl="7" w:tplc="5546F3AC">
      <w:numFmt w:val="bullet"/>
      <w:lvlText w:val="•"/>
      <w:lvlJc w:val="left"/>
      <w:pPr>
        <w:ind w:left="7472" w:hanging="360"/>
      </w:pPr>
      <w:rPr>
        <w:rFonts w:hint="default"/>
      </w:rPr>
    </w:lvl>
    <w:lvl w:ilvl="8" w:tplc="94422AF4">
      <w:numFmt w:val="bullet"/>
      <w:lvlText w:val="•"/>
      <w:lvlJc w:val="left"/>
      <w:pPr>
        <w:ind w:left="8368" w:hanging="360"/>
      </w:pPr>
      <w:rPr>
        <w:rFonts w:hint="default"/>
      </w:rPr>
    </w:lvl>
  </w:abstractNum>
  <w:abstractNum w:abstractNumId="1" w15:restartNumberingAfterBreak="0">
    <w:nsid w:val="1DF04455"/>
    <w:multiLevelType w:val="hybridMultilevel"/>
    <w:tmpl w:val="693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20792"/>
    <w:multiLevelType w:val="hybridMultilevel"/>
    <w:tmpl w:val="F960591C"/>
    <w:lvl w:ilvl="0" w:tplc="90C4290C">
      <w:start w:val="1"/>
      <w:numFmt w:val="decimal"/>
      <w:lvlText w:val="%1."/>
      <w:lvlJc w:val="left"/>
      <w:pPr>
        <w:ind w:left="420" w:hanging="360"/>
      </w:pPr>
      <w:rPr>
        <w:rFonts w:cstheme="minorBidi"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E9"/>
    <w:rsid w:val="00010EE1"/>
    <w:rsid w:val="000607A4"/>
    <w:rsid w:val="00061DF7"/>
    <w:rsid w:val="0007454D"/>
    <w:rsid w:val="000E0E07"/>
    <w:rsid w:val="00113F33"/>
    <w:rsid w:val="00116B03"/>
    <w:rsid w:val="001231B1"/>
    <w:rsid w:val="00130F74"/>
    <w:rsid w:val="00171255"/>
    <w:rsid w:val="001E6829"/>
    <w:rsid w:val="00203A89"/>
    <w:rsid w:val="00210DF2"/>
    <w:rsid w:val="0024284E"/>
    <w:rsid w:val="00271991"/>
    <w:rsid w:val="00273058"/>
    <w:rsid w:val="002A546D"/>
    <w:rsid w:val="00330C8F"/>
    <w:rsid w:val="00352940"/>
    <w:rsid w:val="00364C61"/>
    <w:rsid w:val="00447C20"/>
    <w:rsid w:val="00455922"/>
    <w:rsid w:val="00480BE9"/>
    <w:rsid w:val="00486E25"/>
    <w:rsid w:val="004A2FDA"/>
    <w:rsid w:val="005978E8"/>
    <w:rsid w:val="005A1B69"/>
    <w:rsid w:val="006174A4"/>
    <w:rsid w:val="00620A50"/>
    <w:rsid w:val="006515FE"/>
    <w:rsid w:val="006525CA"/>
    <w:rsid w:val="00684218"/>
    <w:rsid w:val="006A62CE"/>
    <w:rsid w:val="006B54C5"/>
    <w:rsid w:val="00722873"/>
    <w:rsid w:val="00723C4D"/>
    <w:rsid w:val="0072525E"/>
    <w:rsid w:val="00736EB9"/>
    <w:rsid w:val="00745537"/>
    <w:rsid w:val="00751FE9"/>
    <w:rsid w:val="00770F81"/>
    <w:rsid w:val="0078754A"/>
    <w:rsid w:val="00802FE7"/>
    <w:rsid w:val="00810B34"/>
    <w:rsid w:val="00817842"/>
    <w:rsid w:val="0083719D"/>
    <w:rsid w:val="00837EB6"/>
    <w:rsid w:val="00854F57"/>
    <w:rsid w:val="00890E8F"/>
    <w:rsid w:val="008A4DB5"/>
    <w:rsid w:val="008B3614"/>
    <w:rsid w:val="008B760B"/>
    <w:rsid w:val="008C066A"/>
    <w:rsid w:val="009310CC"/>
    <w:rsid w:val="009E6D47"/>
    <w:rsid w:val="00A17D63"/>
    <w:rsid w:val="00A52BAE"/>
    <w:rsid w:val="00A62D76"/>
    <w:rsid w:val="00AD302E"/>
    <w:rsid w:val="00AE04BA"/>
    <w:rsid w:val="00B20B84"/>
    <w:rsid w:val="00B642AA"/>
    <w:rsid w:val="00B77472"/>
    <w:rsid w:val="00B8051F"/>
    <w:rsid w:val="00B93389"/>
    <w:rsid w:val="00BE7271"/>
    <w:rsid w:val="00C2095A"/>
    <w:rsid w:val="00C20F63"/>
    <w:rsid w:val="00CB4647"/>
    <w:rsid w:val="00D032F4"/>
    <w:rsid w:val="00D2483E"/>
    <w:rsid w:val="00D662FC"/>
    <w:rsid w:val="00D85481"/>
    <w:rsid w:val="00DE2B30"/>
    <w:rsid w:val="00E07E3B"/>
    <w:rsid w:val="00F026D3"/>
    <w:rsid w:val="00FC5EEF"/>
    <w:rsid w:val="00FE4A3E"/>
    <w:rsid w:val="020A0049"/>
    <w:rsid w:val="105D18A7"/>
    <w:rsid w:val="14E2F37E"/>
    <w:rsid w:val="30F46440"/>
    <w:rsid w:val="51C33434"/>
    <w:rsid w:val="7A366921"/>
    <w:rsid w:val="7F16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3BA6"/>
  <w15:chartTrackingRefBased/>
  <w15:docId w15:val="{DDA20047-560C-457E-B105-6FAB4042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FE9"/>
    <w:pPr>
      <w:spacing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E9"/>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751FE9"/>
  </w:style>
  <w:style w:type="paragraph" w:styleId="Footer">
    <w:name w:val="footer"/>
    <w:basedOn w:val="Normal"/>
    <w:link w:val="FooterChar"/>
    <w:uiPriority w:val="99"/>
    <w:unhideWhenUsed/>
    <w:rsid w:val="00751FE9"/>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751FE9"/>
  </w:style>
  <w:style w:type="paragraph" w:styleId="NoSpacing">
    <w:name w:val="No Spacing"/>
    <w:uiPriority w:val="1"/>
    <w:qFormat/>
    <w:rsid w:val="00116B03"/>
    <w:pPr>
      <w:spacing w:after="0"/>
    </w:pPr>
    <w:rPr>
      <w:rFonts w:ascii="Calibri" w:hAnsi="Calibri" w:cs="Calibri"/>
      <w:sz w:val="22"/>
      <w:szCs w:val="22"/>
    </w:rPr>
  </w:style>
  <w:style w:type="paragraph" w:styleId="NormalWeb">
    <w:name w:val="Normal (Web)"/>
    <w:basedOn w:val="Normal"/>
    <w:uiPriority w:val="99"/>
    <w:semiHidden/>
    <w:unhideWhenUsed/>
    <w:rsid w:val="005978E8"/>
    <w:pPr>
      <w:spacing w:after="0" w:line="240" w:lineRule="auto"/>
    </w:pPr>
    <w:rPr>
      <w:rFonts w:ascii="Calibri" w:hAnsi="Calibri" w:cs="Calibri"/>
    </w:rPr>
  </w:style>
  <w:style w:type="paragraph" w:styleId="BodyText">
    <w:name w:val="Body Text"/>
    <w:basedOn w:val="Normal"/>
    <w:link w:val="BodyTextChar"/>
    <w:uiPriority w:val="1"/>
    <w:qFormat/>
    <w:rsid w:val="006515FE"/>
    <w:pPr>
      <w:widowControl w:val="0"/>
      <w:autoSpaceDE w:val="0"/>
      <w:autoSpaceDN w:val="0"/>
      <w:spacing w:after="0" w:line="240" w:lineRule="auto"/>
    </w:pPr>
    <w:rPr>
      <w:rFonts w:ascii="Garamond" w:eastAsia="Garamond" w:hAnsi="Garamond" w:cs="Garamond"/>
    </w:rPr>
  </w:style>
  <w:style w:type="character" w:customStyle="1" w:styleId="BodyTextChar">
    <w:name w:val="Body Text Char"/>
    <w:basedOn w:val="DefaultParagraphFont"/>
    <w:link w:val="BodyText"/>
    <w:uiPriority w:val="1"/>
    <w:rsid w:val="006515FE"/>
    <w:rPr>
      <w:rFonts w:ascii="Garamond" w:eastAsia="Garamond" w:hAnsi="Garamond" w:cs="Garamond"/>
      <w:sz w:val="22"/>
      <w:szCs w:val="22"/>
    </w:rPr>
  </w:style>
  <w:style w:type="paragraph" w:styleId="ListParagraph">
    <w:name w:val="List Paragraph"/>
    <w:basedOn w:val="Normal"/>
    <w:uiPriority w:val="34"/>
    <w:qFormat/>
    <w:rsid w:val="00352940"/>
    <w:pPr>
      <w:widowControl w:val="0"/>
      <w:autoSpaceDE w:val="0"/>
      <w:autoSpaceDN w:val="0"/>
      <w:spacing w:after="0" w:line="240" w:lineRule="auto"/>
      <w:ind w:left="1192" w:hanging="360"/>
    </w:pPr>
    <w:rPr>
      <w:rFonts w:ascii="Garamond" w:eastAsia="Garamond" w:hAnsi="Garamond" w:cs="Garamond"/>
    </w:rPr>
  </w:style>
  <w:style w:type="paragraph" w:customStyle="1" w:styleId="paragraph">
    <w:name w:val="paragraph"/>
    <w:basedOn w:val="Normal"/>
    <w:rsid w:val="00B20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0B84"/>
  </w:style>
  <w:style w:type="character" w:customStyle="1" w:styleId="eop">
    <w:name w:val="eop"/>
    <w:basedOn w:val="DefaultParagraphFont"/>
    <w:rsid w:val="00B20B8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cstheme="minorBid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2F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2F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FEF8FF-7A18-4EEF-A0EE-CD248423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1210</Words>
  <Characters>6162</Characters>
  <Application>Microsoft Office Word</Application>
  <DocSecurity>0</DocSecurity>
  <Lines>85</Lines>
  <Paragraphs>14</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Claire</dc:creator>
  <cp:keywords/>
  <dc:description/>
  <cp:lastModifiedBy>Sanders, Claire</cp:lastModifiedBy>
  <cp:revision>7</cp:revision>
  <dcterms:created xsi:type="dcterms:W3CDTF">2019-11-27T17:26:00Z</dcterms:created>
  <dcterms:modified xsi:type="dcterms:W3CDTF">2019-11-27T17:31:00Z</dcterms:modified>
</cp:coreProperties>
</file>