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4C" w:rsidRPr="00FE76CA" w:rsidRDefault="00D01001">
      <w:pPr>
        <w:rPr>
          <w:sz w:val="20"/>
          <w:szCs w:val="20"/>
        </w:rPr>
      </w:pPr>
      <w:bookmarkStart w:id="0" w:name="_GoBack"/>
      <w:r w:rsidRPr="00FE76CA">
        <w:rPr>
          <w:sz w:val="20"/>
          <w:szCs w:val="20"/>
        </w:rPr>
        <w:t>Notes on the November 7</w:t>
      </w:r>
      <w:r w:rsidRPr="00FE76CA">
        <w:rPr>
          <w:sz w:val="20"/>
          <w:szCs w:val="20"/>
          <w:vertAlign w:val="superscript"/>
        </w:rPr>
        <w:t>th</w:t>
      </w:r>
      <w:r w:rsidRPr="00FE76CA">
        <w:rPr>
          <w:sz w:val="20"/>
          <w:szCs w:val="20"/>
        </w:rPr>
        <w:t xml:space="preserve"> Faculty Senate meeting.</w:t>
      </w:r>
    </w:p>
    <w:p w:rsidR="00D01001" w:rsidRPr="00FE76CA" w:rsidRDefault="00D01001">
      <w:pPr>
        <w:rPr>
          <w:sz w:val="20"/>
          <w:szCs w:val="20"/>
        </w:rPr>
      </w:pPr>
      <w:r w:rsidRPr="00FE76CA">
        <w:rPr>
          <w:b/>
          <w:sz w:val="20"/>
          <w:szCs w:val="20"/>
        </w:rPr>
        <w:t>Chair Clark Jones</w:t>
      </w:r>
      <w:r w:rsidRPr="00FE76CA">
        <w:rPr>
          <w:sz w:val="20"/>
          <w:szCs w:val="20"/>
        </w:rPr>
        <w:t xml:space="preserve"> called the meeting to order at 3:3</w:t>
      </w:r>
      <w:r w:rsidR="008A1996" w:rsidRPr="00FE76CA">
        <w:rPr>
          <w:sz w:val="20"/>
          <w:szCs w:val="20"/>
        </w:rPr>
        <w:t>0.</w:t>
      </w:r>
    </w:p>
    <w:p w:rsidR="008A1996" w:rsidRPr="00FE76CA" w:rsidRDefault="008A1996">
      <w:pPr>
        <w:rPr>
          <w:sz w:val="20"/>
          <w:szCs w:val="20"/>
        </w:rPr>
      </w:pPr>
      <w:r w:rsidRPr="00FE76CA">
        <w:rPr>
          <w:sz w:val="20"/>
          <w:szCs w:val="20"/>
        </w:rPr>
        <w:t>The minutes from the October meeting were approved as distributed.</w:t>
      </w:r>
    </w:p>
    <w:p w:rsidR="008A1996" w:rsidRPr="00FE76CA" w:rsidRDefault="008A1996">
      <w:pPr>
        <w:rPr>
          <w:sz w:val="20"/>
          <w:szCs w:val="20"/>
        </w:rPr>
      </w:pPr>
      <w:r w:rsidRPr="00FE76CA">
        <w:rPr>
          <w:b/>
          <w:sz w:val="20"/>
          <w:szCs w:val="20"/>
        </w:rPr>
        <w:t>Jones</w:t>
      </w:r>
      <w:r w:rsidRPr="00FE76CA">
        <w:rPr>
          <w:sz w:val="20"/>
          <w:szCs w:val="20"/>
        </w:rPr>
        <w:t xml:space="preserve"> </w:t>
      </w:r>
      <w:r w:rsidR="00A07238" w:rsidRPr="00FE76CA">
        <w:rPr>
          <w:sz w:val="20"/>
          <w:szCs w:val="20"/>
        </w:rPr>
        <w:t xml:space="preserve">opened with remarks about the </w:t>
      </w:r>
      <w:r w:rsidR="00A07238" w:rsidRPr="00FE76CA">
        <w:rPr>
          <w:b/>
          <w:sz w:val="20"/>
          <w:szCs w:val="20"/>
        </w:rPr>
        <w:t>importance of campus conversations</w:t>
      </w:r>
      <w:r w:rsidR="00A07238" w:rsidRPr="00FE76CA">
        <w:rPr>
          <w:sz w:val="20"/>
          <w:szCs w:val="20"/>
        </w:rPr>
        <w:t>, as illustrated at the recent</w:t>
      </w:r>
      <w:r w:rsidRPr="00FE76CA">
        <w:rPr>
          <w:sz w:val="20"/>
          <w:szCs w:val="20"/>
        </w:rPr>
        <w:t xml:space="preserve"> </w:t>
      </w:r>
      <w:r w:rsidR="00A07238" w:rsidRPr="00FE76CA">
        <w:rPr>
          <w:sz w:val="20"/>
          <w:szCs w:val="20"/>
        </w:rPr>
        <w:t xml:space="preserve">Town Hall meeting. </w:t>
      </w:r>
      <w:r w:rsidRPr="00FE76CA">
        <w:rPr>
          <w:sz w:val="20"/>
          <w:szCs w:val="20"/>
        </w:rPr>
        <w:t>He</w:t>
      </w:r>
      <w:r w:rsidR="00A07238" w:rsidRPr="00FE76CA">
        <w:rPr>
          <w:sz w:val="20"/>
          <w:szCs w:val="20"/>
        </w:rPr>
        <w:t xml:space="preserve"> proposed including more discussions in the process of developing and approving Senate </w:t>
      </w:r>
      <w:r w:rsidRPr="00FE76CA">
        <w:rPr>
          <w:sz w:val="20"/>
          <w:szCs w:val="20"/>
        </w:rPr>
        <w:t>resolutions</w:t>
      </w:r>
      <w:r w:rsidR="00A07238" w:rsidRPr="00FE76CA">
        <w:rPr>
          <w:sz w:val="20"/>
          <w:szCs w:val="20"/>
        </w:rPr>
        <w:t>. That is, the Senate begins the process</w:t>
      </w:r>
      <w:r w:rsidRPr="00FE76CA">
        <w:rPr>
          <w:sz w:val="20"/>
          <w:szCs w:val="20"/>
        </w:rPr>
        <w:t xml:space="preserve"> in </w:t>
      </w:r>
      <w:r w:rsidR="00A07238" w:rsidRPr="00FE76CA">
        <w:rPr>
          <w:sz w:val="20"/>
          <w:szCs w:val="20"/>
        </w:rPr>
        <w:t xml:space="preserve">our meetings; senators then </w:t>
      </w:r>
      <w:r w:rsidRPr="00FE76CA">
        <w:rPr>
          <w:sz w:val="20"/>
          <w:szCs w:val="20"/>
        </w:rPr>
        <w:t xml:space="preserve">take the issues </w:t>
      </w:r>
      <w:r w:rsidR="00A07238" w:rsidRPr="00FE76CA">
        <w:rPr>
          <w:sz w:val="20"/>
          <w:szCs w:val="20"/>
        </w:rPr>
        <w:t xml:space="preserve">back </w:t>
      </w:r>
      <w:r w:rsidRPr="00FE76CA">
        <w:rPr>
          <w:sz w:val="20"/>
          <w:szCs w:val="20"/>
        </w:rPr>
        <w:t xml:space="preserve">to </w:t>
      </w:r>
      <w:r w:rsidR="00A07238" w:rsidRPr="00FE76CA">
        <w:rPr>
          <w:sz w:val="20"/>
          <w:szCs w:val="20"/>
        </w:rPr>
        <w:t>departmental and college</w:t>
      </w:r>
      <w:r w:rsidRPr="00FE76CA">
        <w:rPr>
          <w:sz w:val="20"/>
          <w:szCs w:val="20"/>
        </w:rPr>
        <w:t xml:space="preserve"> constituents</w:t>
      </w:r>
      <w:r w:rsidR="00A07238" w:rsidRPr="00FE76CA">
        <w:rPr>
          <w:sz w:val="20"/>
          <w:szCs w:val="20"/>
        </w:rPr>
        <w:t xml:space="preserve"> for consideration; finally, the Senate </w:t>
      </w:r>
      <w:r w:rsidRPr="00FE76CA">
        <w:rPr>
          <w:sz w:val="20"/>
          <w:szCs w:val="20"/>
        </w:rPr>
        <w:t>come</w:t>
      </w:r>
      <w:r w:rsidR="00A07238" w:rsidRPr="00FE76CA">
        <w:rPr>
          <w:sz w:val="20"/>
          <w:szCs w:val="20"/>
        </w:rPr>
        <w:t>s</w:t>
      </w:r>
      <w:r w:rsidRPr="00FE76CA">
        <w:rPr>
          <w:sz w:val="20"/>
          <w:szCs w:val="20"/>
        </w:rPr>
        <w:t xml:space="preserve"> back together </w:t>
      </w:r>
      <w:r w:rsidR="00A07238" w:rsidRPr="00FE76CA">
        <w:rPr>
          <w:sz w:val="20"/>
          <w:szCs w:val="20"/>
        </w:rPr>
        <w:t xml:space="preserve">at the next meeting with the ability </w:t>
      </w:r>
      <w:r w:rsidRPr="00FE76CA">
        <w:rPr>
          <w:sz w:val="20"/>
          <w:szCs w:val="20"/>
        </w:rPr>
        <w:t xml:space="preserve">to make a more informed and impactful decision in our votes. More conversations and discussions will make </w:t>
      </w:r>
      <w:r w:rsidR="00A07238" w:rsidRPr="00FE76CA">
        <w:rPr>
          <w:sz w:val="20"/>
          <w:szCs w:val="20"/>
        </w:rPr>
        <w:t xml:space="preserve">Faculty Senate </w:t>
      </w:r>
      <w:r w:rsidRPr="00FE76CA">
        <w:rPr>
          <w:sz w:val="20"/>
          <w:szCs w:val="20"/>
        </w:rPr>
        <w:t xml:space="preserve">resolutions more </w:t>
      </w:r>
      <w:r w:rsidR="00A07238" w:rsidRPr="00FE76CA">
        <w:rPr>
          <w:sz w:val="20"/>
          <w:szCs w:val="20"/>
        </w:rPr>
        <w:t>effective</w:t>
      </w:r>
      <w:r w:rsidRPr="00FE76CA">
        <w:rPr>
          <w:sz w:val="20"/>
          <w:szCs w:val="20"/>
        </w:rPr>
        <w:t xml:space="preserve">. </w:t>
      </w:r>
    </w:p>
    <w:p w:rsidR="008A1996" w:rsidRPr="00FE76CA" w:rsidRDefault="008A1996">
      <w:pPr>
        <w:rPr>
          <w:sz w:val="20"/>
          <w:szCs w:val="20"/>
        </w:rPr>
      </w:pPr>
      <w:r w:rsidRPr="00FE76CA">
        <w:rPr>
          <w:b/>
          <w:sz w:val="20"/>
          <w:szCs w:val="20"/>
        </w:rPr>
        <w:t xml:space="preserve">Chris </w:t>
      </w:r>
      <w:proofErr w:type="spellStart"/>
      <w:r w:rsidRPr="00FE76CA">
        <w:rPr>
          <w:b/>
          <w:sz w:val="20"/>
          <w:szCs w:val="20"/>
        </w:rPr>
        <w:t>Stolarzyk</w:t>
      </w:r>
      <w:proofErr w:type="spellEnd"/>
      <w:r w:rsidR="00A07238" w:rsidRPr="00FE76CA">
        <w:rPr>
          <w:sz w:val="20"/>
          <w:szCs w:val="20"/>
        </w:rPr>
        <w:t>, of t</w:t>
      </w:r>
      <w:r w:rsidRPr="00FE76CA">
        <w:rPr>
          <w:sz w:val="20"/>
          <w:szCs w:val="20"/>
        </w:rPr>
        <w:t xml:space="preserve">he </w:t>
      </w:r>
      <w:r w:rsidRPr="00FE76CA">
        <w:rPr>
          <w:b/>
          <w:sz w:val="20"/>
          <w:szCs w:val="20"/>
        </w:rPr>
        <w:t xml:space="preserve">United Way </w:t>
      </w:r>
      <w:r w:rsidR="00A07238" w:rsidRPr="00FE76CA">
        <w:rPr>
          <w:b/>
          <w:sz w:val="20"/>
          <w:szCs w:val="20"/>
        </w:rPr>
        <w:t xml:space="preserve">of Tarrant County, </w:t>
      </w:r>
      <w:r w:rsidRPr="00FE76CA">
        <w:rPr>
          <w:sz w:val="20"/>
          <w:szCs w:val="20"/>
        </w:rPr>
        <w:t xml:space="preserve">spoke to the Senate about this year’s </w:t>
      </w:r>
      <w:r w:rsidR="00A07238" w:rsidRPr="00FE76CA">
        <w:rPr>
          <w:sz w:val="20"/>
          <w:szCs w:val="20"/>
        </w:rPr>
        <w:t xml:space="preserve">United Way </w:t>
      </w:r>
      <w:r w:rsidRPr="00FE76CA">
        <w:rPr>
          <w:sz w:val="20"/>
          <w:szCs w:val="20"/>
        </w:rPr>
        <w:t xml:space="preserve">campaign. Last year, the campaign raised around $105,000 for charities from TCU. </w:t>
      </w:r>
      <w:r w:rsidR="006A01B6" w:rsidRPr="00FE76CA">
        <w:rPr>
          <w:sz w:val="20"/>
          <w:szCs w:val="20"/>
        </w:rPr>
        <w:t>Th</w:t>
      </w:r>
      <w:r w:rsidR="00A07238" w:rsidRPr="00FE76CA">
        <w:rPr>
          <w:sz w:val="20"/>
          <w:szCs w:val="20"/>
        </w:rPr>
        <w:t xml:space="preserve">is year’s </w:t>
      </w:r>
      <w:r w:rsidRPr="00FE76CA">
        <w:rPr>
          <w:sz w:val="20"/>
          <w:szCs w:val="20"/>
        </w:rPr>
        <w:t xml:space="preserve">campaign will </w:t>
      </w:r>
      <w:r w:rsidR="00A07238" w:rsidRPr="00FE76CA">
        <w:rPr>
          <w:sz w:val="20"/>
          <w:szCs w:val="20"/>
        </w:rPr>
        <w:t>run from</w:t>
      </w:r>
      <w:r w:rsidRPr="00FE76CA">
        <w:rPr>
          <w:sz w:val="20"/>
          <w:szCs w:val="20"/>
        </w:rPr>
        <w:t xml:space="preserve"> </w:t>
      </w:r>
      <w:r w:rsidRPr="00FE76CA">
        <w:rPr>
          <w:b/>
          <w:sz w:val="20"/>
          <w:szCs w:val="20"/>
        </w:rPr>
        <w:t>December 2-13</w:t>
      </w:r>
      <w:r w:rsidRPr="00FE76CA">
        <w:rPr>
          <w:sz w:val="20"/>
          <w:szCs w:val="20"/>
        </w:rPr>
        <w:t>. Chris is available to speak to groups on campus, if anyone invites him</w:t>
      </w:r>
      <w:r w:rsidR="00A07238" w:rsidRPr="00FE76CA">
        <w:rPr>
          <w:sz w:val="20"/>
          <w:szCs w:val="20"/>
        </w:rPr>
        <w:t xml:space="preserve"> to provide more information</w:t>
      </w:r>
      <w:r w:rsidRPr="00FE76CA">
        <w:rPr>
          <w:sz w:val="20"/>
          <w:szCs w:val="20"/>
        </w:rPr>
        <w:t>.</w:t>
      </w:r>
      <w:r w:rsidR="00A07238" w:rsidRPr="00FE76CA">
        <w:rPr>
          <w:sz w:val="20"/>
          <w:szCs w:val="20"/>
        </w:rPr>
        <w:t xml:space="preserve"> The annual United Way campaign is an o</w:t>
      </w:r>
      <w:r w:rsidRPr="00FE76CA">
        <w:rPr>
          <w:sz w:val="20"/>
          <w:szCs w:val="20"/>
        </w:rPr>
        <w:t>pportunity for TCU to give back to the community in an efficient manner.</w:t>
      </w:r>
      <w:r w:rsidR="006A01B6" w:rsidRPr="00FE76CA">
        <w:rPr>
          <w:sz w:val="20"/>
          <w:szCs w:val="20"/>
        </w:rPr>
        <w:t xml:space="preserve"> He also made a plug for </w:t>
      </w:r>
      <w:r w:rsidR="00A012A2" w:rsidRPr="00FE76CA">
        <w:rPr>
          <w:sz w:val="20"/>
          <w:szCs w:val="20"/>
        </w:rPr>
        <w:t>November as m</w:t>
      </w:r>
      <w:r w:rsidR="006A01B6" w:rsidRPr="00FE76CA">
        <w:rPr>
          <w:sz w:val="20"/>
          <w:szCs w:val="20"/>
        </w:rPr>
        <w:t>en’s health month</w:t>
      </w:r>
      <w:r w:rsidR="00A012A2" w:rsidRPr="00FE76CA">
        <w:rPr>
          <w:sz w:val="20"/>
          <w:szCs w:val="20"/>
        </w:rPr>
        <w:t>.</w:t>
      </w:r>
    </w:p>
    <w:p w:rsidR="006A01B6" w:rsidRPr="00FE76CA" w:rsidRDefault="00A012A2">
      <w:pPr>
        <w:rPr>
          <w:sz w:val="20"/>
          <w:szCs w:val="20"/>
        </w:rPr>
      </w:pPr>
      <w:r w:rsidRPr="00FE76CA">
        <w:rPr>
          <w:sz w:val="20"/>
          <w:szCs w:val="20"/>
        </w:rPr>
        <w:t xml:space="preserve">Jones also made an announcement about the </w:t>
      </w:r>
      <w:r w:rsidR="006A01B6" w:rsidRPr="00FE76CA">
        <w:rPr>
          <w:b/>
          <w:sz w:val="20"/>
          <w:szCs w:val="20"/>
        </w:rPr>
        <w:t>Frogs Feed the Fort</w:t>
      </w:r>
      <w:r w:rsidR="006A01B6" w:rsidRPr="00FE76CA">
        <w:rPr>
          <w:sz w:val="20"/>
          <w:szCs w:val="20"/>
        </w:rPr>
        <w:t xml:space="preserve"> </w:t>
      </w:r>
      <w:r w:rsidRPr="00FE76CA">
        <w:rPr>
          <w:sz w:val="20"/>
          <w:szCs w:val="20"/>
        </w:rPr>
        <w:t xml:space="preserve">initiative currently underway on campus and collecting food and funds </w:t>
      </w:r>
      <w:r w:rsidR="006A01B6" w:rsidRPr="00FE76CA">
        <w:rPr>
          <w:sz w:val="20"/>
          <w:szCs w:val="20"/>
        </w:rPr>
        <w:t xml:space="preserve">for the Tarrant </w:t>
      </w:r>
      <w:r w:rsidRPr="00FE76CA">
        <w:rPr>
          <w:sz w:val="20"/>
          <w:szCs w:val="20"/>
        </w:rPr>
        <w:t>Area</w:t>
      </w:r>
      <w:r w:rsidR="006A01B6" w:rsidRPr="00FE76CA">
        <w:rPr>
          <w:sz w:val="20"/>
          <w:szCs w:val="20"/>
        </w:rPr>
        <w:t xml:space="preserve"> Food Ba</w:t>
      </w:r>
      <w:r w:rsidRPr="00FE76CA">
        <w:rPr>
          <w:sz w:val="20"/>
          <w:szCs w:val="20"/>
        </w:rPr>
        <w:t>n</w:t>
      </w:r>
      <w:r w:rsidR="006A01B6" w:rsidRPr="00FE76CA">
        <w:rPr>
          <w:sz w:val="20"/>
          <w:szCs w:val="20"/>
        </w:rPr>
        <w:t>k. Andy Fort</w:t>
      </w:r>
      <w:r w:rsidRPr="00FE76CA">
        <w:rPr>
          <w:sz w:val="20"/>
          <w:szCs w:val="20"/>
        </w:rPr>
        <w:t>, an emeritus faculty member and former Senate chair,</w:t>
      </w:r>
      <w:r w:rsidR="006A01B6" w:rsidRPr="00FE76CA">
        <w:rPr>
          <w:sz w:val="20"/>
          <w:szCs w:val="20"/>
        </w:rPr>
        <w:t xml:space="preserve"> is the current president of the</w:t>
      </w:r>
      <w:r w:rsidRPr="00FE76CA">
        <w:rPr>
          <w:sz w:val="20"/>
          <w:szCs w:val="20"/>
        </w:rPr>
        <w:t xml:space="preserve"> Food Bank’s</w:t>
      </w:r>
      <w:r w:rsidR="006A01B6" w:rsidRPr="00FE76CA">
        <w:rPr>
          <w:sz w:val="20"/>
          <w:szCs w:val="20"/>
        </w:rPr>
        <w:t xml:space="preserve"> board</w:t>
      </w:r>
      <w:r w:rsidRPr="00FE76CA">
        <w:rPr>
          <w:sz w:val="20"/>
          <w:szCs w:val="20"/>
        </w:rPr>
        <w:t xml:space="preserve">, while </w:t>
      </w:r>
      <w:r w:rsidR="006A01B6" w:rsidRPr="00FE76CA">
        <w:rPr>
          <w:sz w:val="20"/>
          <w:szCs w:val="20"/>
        </w:rPr>
        <w:t>Don Mills</w:t>
      </w:r>
      <w:r w:rsidRPr="00FE76CA">
        <w:rPr>
          <w:sz w:val="20"/>
          <w:szCs w:val="20"/>
        </w:rPr>
        <w:t>, former VC of Student Life,</w:t>
      </w:r>
      <w:r w:rsidR="006A01B6" w:rsidRPr="00FE76CA">
        <w:rPr>
          <w:sz w:val="20"/>
          <w:szCs w:val="20"/>
        </w:rPr>
        <w:t xml:space="preserve"> i</w:t>
      </w:r>
      <w:r w:rsidRPr="00FE76CA">
        <w:rPr>
          <w:sz w:val="20"/>
          <w:szCs w:val="20"/>
        </w:rPr>
        <w:t>s</w:t>
      </w:r>
      <w:r w:rsidR="006A01B6" w:rsidRPr="00FE76CA">
        <w:rPr>
          <w:sz w:val="20"/>
          <w:szCs w:val="20"/>
        </w:rPr>
        <w:t xml:space="preserve"> the president elect, and the </w:t>
      </w:r>
      <w:r w:rsidRPr="00FE76CA">
        <w:rPr>
          <w:sz w:val="20"/>
          <w:szCs w:val="20"/>
        </w:rPr>
        <w:t xml:space="preserve">current </w:t>
      </w:r>
      <w:r w:rsidR="00C24294" w:rsidRPr="00FE76CA">
        <w:rPr>
          <w:sz w:val="20"/>
          <w:szCs w:val="20"/>
        </w:rPr>
        <w:t xml:space="preserve">CEO, Bo </w:t>
      </w:r>
      <w:proofErr w:type="spellStart"/>
      <w:r w:rsidR="00C24294" w:rsidRPr="00FE76CA">
        <w:rPr>
          <w:sz w:val="20"/>
          <w:szCs w:val="20"/>
        </w:rPr>
        <w:t>Soderbergh</w:t>
      </w:r>
      <w:proofErr w:type="spellEnd"/>
      <w:r w:rsidR="006A01B6" w:rsidRPr="00FE76CA">
        <w:rPr>
          <w:sz w:val="20"/>
          <w:szCs w:val="20"/>
        </w:rPr>
        <w:t xml:space="preserve"> is a TCU graduate. This </w:t>
      </w:r>
      <w:r w:rsidRPr="00FE76CA">
        <w:rPr>
          <w:sz w:val="20"/>
          <w:szCs w:val="20"/>
        </w:rPr>
        <w:t xml:space="preserve">food </w:t>
      </w:r>
      <w:r w:rsidR="006A01B6" w:rsidRPr="00FE76CA">
        <w:rPr>
          <w:sz w:val="20"/>
          <w:szCs w:val="20"/>
        </w:rPr>
        <w:t xml:space="preserve">drive ends on </w:t>
      </w:r>
      <w:r w:rsidR="006A01B6" w:rsidRPr="00FE76CA">
        <w:rPr>
          <w:b/>
          <w:sz w:val="20"/>
          <w:szCs w:val="20"/>
        </w:rPr>
        <w:t>November 14</w:t>
      </w:r>
      <w:r w:rsidR="006A01B6" w:rsidRPr="00FE76CA">
        <w:rPr>
          <w:b/>
          <w:sz w:val="20"/>
          <w:szCs w:val="20"/>
          <w:vertAlign w:val="superscript"/>
        </w:rPr>
        <w:t>th</w:t>
      </w:r>
      <w:r w:rsidR="006A01B6" w:rsidRPr="00FE76CA">
        <w:rPr>
          <w:sz w:val="20"/>
          <w:szCs w:val="20"/>
        </w:rPr>
        <w:t xml:space="preserve">. </w:t>
      </w:r>
    </w:p>
    <w:p w:rsidR="006A01B6" w:rsidRPr="00FE76CA" w:rsidRDefault="006A01B6">
      <w:pPr>
        <w:rPr>
          <w:sz w:val="20"/>
          <w:szCs w:val="20"/>
        </w:rPr>
      </w:pPr>
      <w:r w:rsidRPr="00FE76CA">
        <w:rPr>
          <w:b/>
          <w:sz w:val="20"/>
          <w:szCs w:val="20"/>
        </w:rPr>
        <w:t>Claire Sanders</w:t>
      </w:r>
      <w:r w:rsidRPr="00FE76CA">
        <w:rPr>
          <w:sz w:val="20"/>
          <w:szCs w:val="20"/>
        </w:rPr>
        <w:t xml:space="preserve"> brought </w:t>
      </w:r>
      <w:r w:rsidR="00A012A2" w:rsidRPr="00FE76CA">
        <w:rPr>
          <w:sz w:val="20"/>
          <w:szCs w:val="20"/>
        </w:rPr>
        <w:t>a brief</w:t>
      </w:r>
      <w:r w:rsidRPr="00FE76CA">
        <w:rPr>
          <w:sz w:val="20"/>
          <w:szCs w:val="20"/>
        </w:rPr>
        <w:t xml:space="preserve"> update </w:t>
      </w:r>
      <w:r w:rsidR="00A012A2" w:rsidRPr="00FE76CA">
        <w:rPr>
          <w:sz w:val="20"/>
          <w:szCs w:val="20"/>
        </w:rPr>
        <w:t>from</w:t>
      </w:r>
      <w:r w:rsidRPr="00FE76CA">
        <w:rPr>
          <w:sz w:val="20"/>
          <w:szCs w:val="20"/>
        </w:rPr>
        <w:t xml:space="preserve"> the </w:t>
      </w:r>
      <w:r w:rsidRPr="00FE76CA">
        <w:rPr>
          <w:b/>
          <w:sz w:val="20"/>
          <w:szCs w:val="20"/>
        </w:rPr>
        <w:t>DEI Implementation Committee</w:t>
      </w:r>
      <w:r w:rsidRPr="00FE76CA">
        <w:rPr>
          <w:sz w:val="20"/>
          <w:szCs w:val="20"/>
        </w:rPr>
        <w:t>. As the Co-Chair of this committee, she report</w:t>
      </w:r>
      <w:r w:rsidR="00A012A2" w:rsidRPr="00FE76CA">
        <w:rPr>
          <w:sz w:val="20"/>
          <w:szCs w:val="20"/>
        </w:rPr>
        <w:t>ed</w:t>
      </w:r>
      <w:r w:rsidRPr="00FE76CA">
        <w:rPr>
          <w:sz w:val="20"/>
          <w:szCs w:val="20"/>
        </w:rPr>
        <w:t xml:space="preserve"> that the </w:t>
      </w:r>
      <w:r w:rsidR="00A012A2" w:rsidRPr="00FE76CA">
        <w:rPr>
          <w:sz w:val="20"/>
          <w:szCs w:val="20"/>
        </w:rPr>
        <w:t xml:space="preserve">group’s “campus tour” </w:t>
      </w:r>
      <w:r w:rsidRPr="00FE76CA">
        <w:rPr>
          <w:sz w:val="20"/>
          <w:szCs w:val="20"/>
        </w:rPr>
        <w:t xml:space="preserve">is almost complete. </w:t>
      </w:r>
      <w:r w:rsidR="00A012A2" w:rsidRPr="00FE76CA">
        <w:rPr>
          <w:sz w:val="20"/>
          <w:szCs w:val="20"/>
        </w:rPr>
        <w:t>She is v</w:t>
      </w:r>
      <w:r w:rsidRPr="00FE76CA">
        <w:rPr>
          <w:sz w:val="20"/>
          <w:szCs w:val="20"/>
        </w:rPr>
        <w:t>ery grateful for and impressed</w:t>
      </w:r>
      <w:r w:rsidR="00A012A2" w:rsidRPr="00FE76CA">
        <w:rPr>
          <w:sz w:val="20"/>
          <w:szCs w:val="20"/>
        </w:rPr>
        <w:t xml:space="preserve"> by </w:t>
      </w:r>
      <w:r w:rsidRPr="00FE76CA">
        <w:rPr>
          <w:sz w:val="20"/>
          <w:szCs w:val="20"/>
        </w:rPr>
        <w:t xml:space="preserve">the multiple conversations they have had and feedback they have received </w:t>
      </w:r>
      <w:r w:rsidR="00A012A2" w:rsidRPr="00FE76CA">
        <w:rPr>
          <w:sz w:val="20"/>
          <w:szCs w:val="20"/>
        </w:rPr>
        <w:t xml:space="preserve">in meeting with </w:t>
      </w:r>
      <w:r w:rsidRPr="00FE76CA">
        <w:rPr>
          <w:sz w:val="20"/>
          <w:szCs w:val="20"/>
        </w:rPr>
        <w:t xml:space="preserve">colleagues across campus. </w:t>
      </w:r>
      <w:r w:rsidR="00A012A2" w:rsidRPr="00FE76CA">
        <w:rPr>
          <w:sz w:val="20"/>
          <w:szCs w:val="20"/>
        </w:rPr>
        <w:t xml:space="preserve">This week, they had a productive conversation with </w:t>
      </w:r>
      <w:r w:rsidRPr="00FE76CA">
        <w:rPr>
          <w:sz w:val="20"/>
          <w:szCs w:val="20"/>
        </w:rPr>
        <w:t xml:space="preserve">Registrar Mary </w:t>
      </w:r>
      <w:proofErr w:type="spellStart"/>
      <w:r w:rsidRPr="00FE76CA">
        <w:rPr>
          <w:sz w:val="20"/>
          <w:szCs w:val="20"/>
        </w:rPr>
        <w:t>Kincannon</w:t>
      </w:r>
      <w:proofErr w:type="spellEnd"/>
      <w:r w:rsidR="00A012A2" w:rsidRPr="00FE76CA">
        <w:rPr>
          <w:sz w:val="20"/>
          <w:szCs w:val="20"/>
        </w:rPr>
        <w:t xml:space="preserve"> regarding the logistics of adding a DEI element to the Core</w:t>
      </w:r>
      <w:r w:rsidRPr="00FE76CA">
        <w:rPr>
          <w:sz w:val="20"/>
          <w:szCs w:val="20"/>
        </w:rPr>
        <w:t>. T</w:t>
      </w:r>
      <w:r w:rsidR="00A012A2" w:rsidRPr="00FE76CA">
        <w:rPr>
          <w:sz w:val="20"/>
          <w:szCs w:val="20"/>
        </w:rPr>
        <w:t>he committee</w:t>
      </w:r>
      <w:r w:rsidRPr="00FE76CA">
        <w:rPr>
          <w:sz w:val="20"/>
          <w:szCs w:val="20"/>
        </w:rPr>
        <w:t xml:space="preserve"> plan</w:t>
      </w:r>
      <w:r w:rsidR="00A012A2" w:rsidRPr="00FE76CA">
        <w:rPr>
          <w:sz w:val="20"/>
          <w:szCs w:val="20"/>
        </w:rPr>
        <w:t>s</w:t>
      </w:r>
      <w:r w:rsidRPr="00FE76CA">
        <w:rPr>
          <w:sz w:val="20"/>
          <w:szCs w:val="20"/>
        </w:rPr>
        <w:t xml:space="preserve"> to wrap u</w:t>
      </w:r>
      <w:r w:rsidR="00A012A2" w:rsidRPr="00FE76CA">
        <w:rPr>
          <w:sz w:val="20"/>
          <w:szCs w:val="20"/>
        </w:rPr>
        <w:t>p the work before Thanksgiving and have their d</w:t>
      </w:r>
      <w:r w:rsidRPr="00FE76CA">
        <w:rPr>
          <w:sz w:val="20"/>
          <w:szCs w:val="20"/>
        </w:rPr>
        <w:t>ocuments ready for</w:t>
      </w:r>
      <w:r w:rsidR="00A012A2" w:rsidRPr="00FE76CA">
        <w:rPr>
          <w:sz w:val="20"/>
          <w:szCs w:val="20"/>
        </w:rPr>
        <w:t xml:space="preserve"> presentation at</w:t>
      </w:r>
      <w:r w:rsidRPr="00FE76CA">
        <w:rPr>
          <w:sz w:val="20"/>
          <w:szCs w:val="20"/>
        </w:rPr>
        <w:t xml:space="preserve"> the Dec</w:t>
      </w:r>
      <w:r w:rsidR="00A012A2" w:rsidRPr="00FE76CA">
        <w:rPr>
          <w:sz w:val="20"/>
          <w:szCs w:val="20"/>
        </w:rPr>
        <w:t>ember Faculty Senate</w:t>
      </w:r>
      <w:r w:rsidRPr="00FE76CA">
        <w:rPr>
          <w:sz w:val="20"/>
          <w:szCs w:val="20"/>
        </w:rPr>
        <w:t xml:space="preserve"> meeting.</w:t>
      </w:r>
    </w:p>
    <w:p w:rsidR="006A01B6" w:rsidRPr="00FE76CA" w:rsidRDefault="006A01B6">
      <w:pPr>
        <w:rPr>
          <w:sz w:val="20"/>
          <w:szCs w:val="20"/>
        </w:rPr>
      </w:pPr>
      <w:r w:rsidRPr="00FE76CA">
        <w:rPr>
          <w:b/>
          <w:sz w:val="20"/>
          <w:szCs w:val="20"/>
        </w:rPr>
        <w:t xml:space="preserve">Pam </w:t>
      </w:r>
      <w:proofErr w:type="spellStart"/>
      <w:r w:rsidRPr="00FE76CA">
        <w:rPr>
          <w:b/>
          <w:sz w:val="20"/>
          <w:szCs w:val="20"/>
        </w:rPr>
        <w:t>Frable</w:t>
      </w:r>
      <w:proofErr w:type="spellEnd"/>
      <w:r w:rsidR="007E39AB" w:rsidRPr="00FE76CA">
        <w:rPr>
          <w:sz w:val="20"/>
          <w:szCs w:val="20"/>
        </w:rPr>
        <w:t xml:space="preserve">, </w:t>
      </w:r>
      <w:r w:rsidR="007E39AB" w:rsidRPr="00FE76CA">
        <w:rPr>
          <w:b/>
          <w:sz w:val="20"/>
          <w:szCs w:val="20"/>
        </w:rPr>
        <w:t>chair of the Governance Committee</w:t>
      </w:r>
      <w:r w:rsidR="007E39AB" w:rsidRPr="00FE76CA">
        <w:rPr>
          <w:sz w:val="20"/>
          <w:szCs w:val="20"/>
        </w:rPr>
        <w:t>,</w:t>
      </w:r>
      <w:r w:rsidRPr="00FE76CA">
        <w:rPr>
          <w:sz w:val="20"/>
          <w:szCs w:val="20"/>
        </w:rPr>
        <w:t xml:space="preserve"> reported that</w:t>
      </w:r>
      <w:r w:rsidR="00C24294" w:rsidRPr="00FE76CA">
        <w:rPr>
          <w:sz w:val="20"/>
          <w:szCs w:val="20"/>
        </w:rPr>
        <w:t xml:space="preserve"> her committee has read</w:t>
      </w:r>
      <w:r w:rsidRPr="00FE76CA">
        <w:rPr>
          <w:sz w:val="20"/>
          <w:szCs w:val="20"/>
        </w:rPr>
        <w:t xml:space="preserve"> the updated </w:t>
      </w:r>
      <w:r w:rsidR="00C24294" w:rsidRPr="00FE76CA">
        <w:rPr>
          <w:sz w:val="20"/>
          <w:szCs w:val="20"/>
        </w:rPr>
        <w:t>A</w:t>
      </w:r>
      <w:r w:rsidRPr="00FE76CA">
        <w:rPr>
          <w:sz w:val="20"/>
          <w:szCs w:val="20"/>
        </w:rPr>
        <w:t xml:space="preserve">lcohol </w:t>
      </w:r>
      <w:r w:rsidR="00C24294" w:rsidRPr="00FE76CA">
        <w:rPr>
          <w:sz w:val="20"/>
          <w:szCs w:val="20"/>
        </w:rPr>
        <w:t>P</w:t>
      </w:r>
      <w:r w:rsidRPr="00FE76CA">
        <w:rPr>
          <w:sz w:val="20"/>
          <w:szCs w:val="20"/>
        </w:rPr>
        <w:t xml:space="preserve">olicy </w:t>
      </w:r>
      <w:r w:rsidR="00C24294" w:rsidRPr="00FE76CA">
        <w:rPr>
          <w:sz w:val="20"/>
          <w:szCs w:val="20"/>
        </w:rPr>
        <w:t xml:space="preserve">and recommends that it </w:t>
      </w:r>
      <w:r w:rsidRPr="00FE76CA">
        <w:rPr>
          <w:sz w:val="20"/>
          <w:szCs w:val="20"/>
        </w:rPr>
        <w:t>now be updated in the Faculty</w:t>
      </w:r>
      <w:r w:rsidR="00C24294" w:rsidRPr="00FE76CA">
        <w:rPr>
          <w:sz w:val="20"/>
          <w:szCs w:val="20"/>
        </w:rPr>
        <w:t>-</w:t>
      </w:r>
      <w:r w:rsidRPr="00FE76CA">
        <w:rPr>
          <w:sz w:val="20"/>
          <w:szCs w:val="20"/>
        </w:rPr>
        <w:t xml:space="preserve">Staff Handbook. </w:t>
      </w:r>
      <w:r w:rsidR="00C24294" w:rsidRPr="00FE76CA">
        <w:rPr>
          <w:sz w:val="20"/>
          <w:szCs w:val="20"/>
        </w:rPr>
        <w:t>Because the policy is subject to annual review and revision, it will be included as a link in the handbook</w:t>
      </w:r>
      <w:r w:rsidRPr="00FE76CA">
        <w:rPr>
          <w:sz w:val="20"/>
          <w:szCs w:val="20"/>
        </w:rPr>
        <w:t>. The motion passed without objection</w:t>
      </w:r>
      <w:r w:rsidR="00C24294" w:rsidRPr="00FE76CA">
        <w:rPr>
          <w:sz w:val="20"/>
          <w:szCs w:val="20"/>
        </w:rPr>
        <w:t>s</w:t>
      </w:r>
      <w:r w:rsidRPr="00FE76CA">
        <w:rPr>
          <w:sz w:val="20"/>
          <w:szCs w:val="20"/>
        </w:rPr>
        <w:t xml:space="preserve"> or abstentions.</w:t>
      </w:r>
    </w:p>
    <w:p w:rsidR="00DB7A2E" w:rsidRPr="00FE76CA" w:rsidRDefault="006A01B6">
      <w:pPr>
        <w:rPr>
          <w:sz w:val="20"/>
          <w:szCs w:val="20"/>
        </w:rPr>
      </w:pPr>
      <w:r w:rsidRPr="00FE76CA">
        <w:rPr>
          <w:b/>
          <w:sz w:val="20"/>
          <w:szCs w:val="20"/>
        </w:rPr>
        <w:t xml:space="preserve">Michael </w:t>
      </w:r>
      <w:proofErr w:type="spellStart"/>
      <w:r w:rsidRPr="00FE76CA">
        <w:rPr>
          <w:b/>
          <w:sz w:val="20"/>
          <w:szCs w:val="20"/>
        </w:rPr>
        <w:t>Sawey</w:t>
      </w:r>
      <w:proofErr w:type="spellEnd"/>
      <w:r w:rsidR="00C24294" w:rsidRPr="00FE76CA">
        <w:rPr>
          <w:sz w:val="20"/>
          <w:szCs w:val="20"/>
        </w:rPr>
        <w:t xml:space="preserve">, </w:t>
      </w:r>
      <w:r w:rsidR="00C24294" w:rsidRPr="00FE76CA">
        <w:rPr>
          <w:b/>
          <w:sz w:val="20"/>
          <w:szCs w:val="20"/>
        </w:rPr>
        <w:t>chair of the Educational Evaluation Committee</w:t>
      </w:r>
      <w:r w:rsidR="002F7C37" w:rsidRPr="00FE76CA">
        <w:rPr>
          <w:b/>
          <w:sz w:val="20"/>
          <w:szCs w:val="20"/>
        </w:rPr>
        <w:t xml:space="preserve"> (EEC)</w:t>
      </w:r>
      <w:r w:rsidR="00C24294" w:rsidRPr="00FE76CA">
        <w:rPr>
          <w:sz w:val="20"/>
          <w:szCs w:val="20"/>
        </w:rPr>
        <w:t xml:space="preserve">, </w:t>
      </w:r>
      <w:r w:rsidRPr="00FE76CA">
        <w:rPr>
          <w:sz w:val="20"/>
          <w:szCs w:val="20"/>
        </w:rPr>
        <w:t xml:space="preserve">brought a revised resolution from the EEC on </w:t>
      </w:r>
      <w:r w:rsidR="002F7C37" w:rsidRPr="00FE76CA">
        <w:rPr>
          <w:sz w:val="20"/>
          <w:szCs w:val="20"/>
        </w:rPr>
        <w:t xml:space="preserve">the </w:t>
      </w:r>
      <w:r w:rsidRPr="00FE76CA">
        <w:rPr>
          <w:sz w:val="20"/>
          <w:szCs w:val="20"/>
        </w:rPr>
        <w:t xml:space="preserve">Appropriate Use of Student Evaluations. </w:t>
      </w:r>
      <w:r w:rsidR="002F7C37" w:rsidRPr="00FE76CA">
        <w:rPr>
          <w:sz w:val="20"/>
          <w:szCs w:val="20"/>
        </w:rPr>
        <w:t>He noted the volume of</w:t>
      </w:r>
      <w:r w:rsidRPr="00FE76CA">
        <w:rPr>
          <w:sz w:val="20"/>
          <w:szCs w:val="20"/>
        </w:rPr>
        <w:t xml:space="preserve"> discussion </w:t>
      </w:r>
      <w:r w:rsidR="00D108F7" w:rsidRPr="00FE76CA">
        <w:rPr>
          <w:sz w:val="20"/>
          <w:szCs w:val="20"/>
        </w:rPr>
        <w:t xml:space="preserve">and the number of emails he has received on this topic </w:t>
      </w:r>
      <w:r w:rsidRPr="00FE76CA">
        <w:rPr>
          <w:sz w:val="20"/>
          <w:szCs w:val="20"/>
        </w:rPr>
        <w:t>in the month since the last meeting. First</w:t>
      </w:r>
      <w:r w:rsidR="00DB7A2E" w:rsidRPr="00FE76CA">
        <w:rPr>
          <w:sz w:val="20"/>
          <w:szCs w:val="20"/>
        </w:rPr>
        <w:t xml:space="preserve"> paragraph is not changed, but the second paragraph has been revised:</w:t>
      </w:r>
    </w:p>
    <w:p w:rsidR="00DB7A2E" w:rsidRPr="00FE76CA" w:rsidRDefault="00DB7A2E" w:rsidP="00DB7A2E">
      <w:pPr>
        <w:pStyle w:val="Heading1"/>
        <w:spacing w:before="120" w:after="120"/>
        <w:rPr>
          <w:sz w:val="20"/>
          <w:szCs w:val="20"/>
        </w:rPr>
      </w:pPr>
      <w:r w:rsidRPr="00FE76CA">
        <w:rPr>
          <w:sz w:val="20"/>
          <w:szCs w:val="20"/>
        </w:rPr>
        <w:t>Resolution from EEC: Appropriate use of student evaluations</w:t>
      </w:r>
    </w:p>
    <w:p w:rsidR="00DB7A2E" w:rsidRPr="00FE76CA" w:rsidRDefault="00DB7A2E" w:rsidP="00DB7A2E">
      <w:pPr>
        <w:spacing w:before="120" w:after="120"/>
        <w:rPr>
          <w:sz w:val="20"/>
          <w:szCs w:val="20"/>
        </w:rPr>
      </w:pPr>
      <w:r w:rsidRPr="00FE76CA">
        <w:rPr>
          <w:sz w:val="20"/>
          <w:szCs w:val="20"/>
        </w:rPr>
        <w:t>TCU is committed to Diversity, Equity, and Inclusion and seeks to “promote a campus environment that is welcoming for all and free of bias.”</w:t>
      </w:r>
      <w:r w:rsidRPr="00FE76CA">
        <w:rPr>
          <w:sz w:val="20"/>
          <w:szCs w:val="20"/>
          <w:u w:val="single"/>
          <w:vertAlign w:val="superscript"/>
        </w:rPr>
        <w:t>[1]</w:t>
      </w:r>
      <w:r w:rsidRPr="00FE76CA">
        <w:rPr>
          <w:sz w:val="20"/>
          <w:szCs w:val="20"/>
        </w:rPr>
        <w:t xml:space="preserve"> Academic research, however, demonstrates that student evaluations of teaching “systematically disadvantage faculty from marginalized groups,</w:t>
      </w:r>
      <w:proofErr w:type="gramStart"/>
      <w:r w:rsidRPr="00FE76CA">
        <w:rPr>
          <w:sz w:val="20"/>
          <w:szCs w:val="20"/>
        </w:rPr>
        <w:t>”</w:t>
      </w:r>
      <w:r w:rsidRPr="00FE76CA">
        <w:rPr>
          <w:sz w:val="20"/>
          <w:szCs w:val="20"/>
          <w:u w:val="single"/>
          <w:vertAlign w:val="superscript"/>
        </w:rPr>
        <w:t>[</w:t>
      </w:r>
      <w:proofErr w:type="gramEnd"/>
      <w:r w:rsidRPr="00FE76CA">
        <w:rPr>
          <w:sz w:val="20"/>
          <w:szCs w:val="20"/>
          <w:u w:val="single"/>
          <w:vertAlign w:val="superscript"/>
        </w:rPr>
        <w:t>2]</w:t>
      </w:r>
      <w:r w:rsidRPr="00FE76CA">
        <w:rPr>
          <w:sz w:val="20"/>
          <w:szCs w:val="20"/>
        </w:rPr>
        <w:t xml:space="preserve"> including women and minorities</w:t>
      </w:r>
      <w:r w:rsidRPr="00FE76CA">
        <w:rPr>
          <w:sz w:val="20"/>
          <w:szCs w:val="20"/>
          <w:u w:val="single"/>
          <w:vertAlign w:val="superscript"/>
        </w:rPr>
        <w:t>[3]</w:t>
      </w:r>
      <w:r w:rsidRPr="00FE76CA">
        <w:rPr>
          <w:sz w:val="20"/>
          <w:szCs w:val="20"/>
        </w:rPr>
        <w:t>, and are poor indicators of teaching quality</w:t>
      </w:r>
      <w:r w:rsidRPr="00FE76CA">
        <w:rPr>
          <w:sz w:val="20"/>
          <w:szCs w:val="20"/>
          <w:u w:val="single"/>
          <w:vertAlign w:val="superscript"/>
        </w:rPr>
        <w:t>[4]</w:t>
      </w:r>
      <w:r w:rsidRPr="00FE76CA">
        <w:rPr>
          <w:sz w:val="20"/>
          <w:szCs w:val="20"/>
        </w:rPr>
        <w:t>. </w:t>
      </w:r>
    </w:p>
    <w:p w:rsidR="00DB7A2E" w:rsidRPr="00FE76CA" w:rsidRDefault="00DB7A2E" w:rsidP="00DB7A2E">
      <w:pPr>
        <w:rPr>
          <w:sz w:val="20"/>
          <w:szCs w:val="20"/>
        </w:rPr>
      </w:pPr>
      <w:r w:rsidRPr="00FE76CA">
        <w:rPr>
          <w:sz w:val="20"/>
          <w:szCs w:val="20"/>
        </w:rPr>
        <w:t>Therefore, while SPOT data may be useful in (a) helping faculty members reflect upon and improve their teaching and (b) giving students an opportunity to voice opinions about their class experiences, SPOT data should not be used by colleges or departments in consequential decisions, such as annual review, tenure and promotion, or merit pay.</w:t>
      </w:r>
    </w:p>
    <w:p w:rsidR="00DB7A2E" w:rsidRPr="00FE76CA" w:rsidRDefault="00DB7A2E" w:rsidP="00DB7A2E">
      <w:pPr>
        <w:pStyle w:val="Heading1"/>
        <w:spacing w:before="120" w:after="120"/>
        <w:rPr>
          <w:sz w:val="20"/>
          <w:szCs w:val="20"/>
        </w:rPr>
      </w:pPr>
      <w:r w:rsidRPr="00FE76CA">
        <w:rPr>
          <w:sz w:val="20"/>
          <w:szCs w:val="20"/>
        </w:rPr>
        <w:lastRenderedPageBreak/>
        <w:t>References Cited</w:t>
      </w:r>
    </w:p>
    <w:p w:rsidR="00DB7A2E" w:rsidRPr="00FE76CA" w:rsidRDefault="00DB7A2E" w:rsidP="00DB7A2E">
      <w:pPr>
        <w:spacing w:before="120" w:after="120"/>
        <w:rPr>
          <w:sz w:val="20"/>
          <w:szCs w:val="20"/>
        </w:rPr>
      </w:pPr>
      <w:r w:rsidRPr="00FE76CA">
        <w:rPr>
          <w:sz w:val="20"/>
          <w:szCs w:val="20"/>
          <w:vertAlign w:val="superscript"/>
        </w:rPr>
        <w:t>[1]</w:t>
      </w:r>
      <w:r w:rsidRPr="00FE76CA">
        <w:rPr>
          <w:sz w:val="20"/>
          <w:szCs w:val="20"/>
        </w:rPr>
        <w:t> </w:t>
      </w:r>
      <w:r w:rsidRPr="00FE76CA">
        <w:rPr>
          <w:rFonts w:eastAsia="Times New Roman" w:cstheme="minorHAnsi"/>
          <w:color w:val="000000"/>
          <w:sz w:val="20"/>
          <w:szCs w:val="20"/>
        </w:rPr>
        <w:t xml:space="preserve">Texas Christian University Strategic Plan. (2019). https://inclusion.tcu.edu/about/strategic-plan/ </w:t>
      </w:r>
    </w:p>
    <w:p w:rsidR="00DB7A2E" w:rsidRPr="00FE76CA" w:rsidRDefault="00DB7A2E" w:rsidP="00DB7A2E">
      <w:pPr>
        <w:spacing w:before="120" w:after="120"/>
        <w:rPr>
          <w:sz w:val="20"/>
          <w:szCs w:val="20"/>
        </w:rPr>
      </w:pPr>
      <w:r w:rsidRPr="00FE76CA">
        <w:rPr>
          <w:sz w:val="20"/>
          <w:szCs w:val="20"/>
          <w:vertAlign w:val="superscript"/>
        </w:rPr>
        <w:t>[2]</w:t>
      </w:r>
      <w:r w:rsidRPr="00FE76CA">
        <w:rPr>
          <w:sz w:val="20"/>
          <w:szCs w:val="20"/>
        </w:rPr>
        <w:t> </w:t>
      </w:r>
      <w:r w:rsidRPr="00FE76CA">
        <w:rPr>
          <w:rFonts w:eastAsia="Times New Roman" w:cstheme="minorHAnsi"/>
          <w:color w:val="000000"/>
          <w:sz w:val="20"/>
          <w:szCs w:val="20"/>
        </w:rPr>
        <w:t xml:space="preserve">Statement on Student Evaluations of Teaching. (Sep 2019). </w:t>
      </w:r>
      <w:r w:rsidRPr="00FE76CA">
        <w:rPr>
          <w:rFonts w:eastAsia="Times New Roman" w:cstheme="minorHAnsi"/>
          <w:i/>
          <w:iCs/>
          <w:color w:val="000000"/>
          <w:sz w:val="20"/>
          <w:szCs w:val="20"/>
        </w:rPr>
        <w:t>American Sociological Association</w:t>
      </w:r>
      <w:r w:rsidRPr="00FE76CA">
        <w:rPr>
          <w:rFonts w:eastAsia="Times New Roman" w:cstheme="minorHAnsi"/>
          <w:color w:val="000000"/>
          <w:sz w:val="20"/>
          <w:szCs w:val="20"/>
        </w:rPr>
        <w:t xml:space="preserve">. </w:t>
      </w:r>
    </w:p>
    <w:p w:rsidR="00DB7A2E" w:rsidRPr="00FE76CA" w:rsidRDefault="00DB7A2E" w:rsidP="00DB7A2E">
      <w:pPr>
        <w:spacing w:before="120" w:after="120"/>
        <w:rPr>
          <w:sz w:val="20"/>
          <w:szCs w:val="20"/>
        </w:rPr>
      </w:pPr>
      <w:r w:rsidRPr="00FE76CA">
        <w:rPr>
          <w:sz w:val="20"/>
          <w:szCs w:val="20"/>
          <w:vertAlign w:val="superscript"/>
        </w:rPr>
        <w:t>[3]</w:t>
      </w:r>
      <w:r w:rsidRPr="00FE76CA">
        <w:rPr>
          <w:sz w:val="20"/>
          <w:szCs w:val="20"/>
        </w:rPr>
        <w:t xml:space="preserve"> Mitchell, Kristina M.W., Martin, Jonathan. (July 2018). Gender Bias in Student Evaluations. </w:t>
      </w:r>
      <w:r w:rsidRPr="00FE76CA">
        <w:rPr>
          <w:i/>
          <w:iCs/>
          <w:sz w:val="20"/>
          <w:szCs w:val="20"/>
        </w:rPr>
        <w:t>Political Science &amp; Politics</w:t>
      </w:r>
      <w:r w:rsidRPr="00FE76CA">
        <w:rPr>
          <w:sz w:val="20"/>
          <w:szCs w:val="20"/>
        </w:rPr>
        <w:t>. 51(3), 648-652.</w:t>
      </w:r>
    </w:p>
    <w:p w:rsidR="00DB7A2E" w:rsidRPr="00FE76CA" w:rsidRDefault="00DB7A2E" w:rsidP="00DB7A2E">
      <w:pPr>
        <w:spacing w:before="120" w:after="120"/>
        <w:rPr>
          <w:sz w:val="20"/>
          <w:szCs w:val="20"/>
        </w:rPr>
      </w:pPr>
      <w:r w:rsidRPr="00FE76CA">
        <w:rPr>
          <w:sz w:val="20"/>
          <w:szCs w:val="20"/>
          <w:vertAlign w:val="superscript"/>
        </w:rPr>
        <w:t>[4]</w:t>
      </w:r>
      <w:r w:rsidRPr="00FE76CA">
        <w:rPr>
          <w:sz w:val="20"/>
          <w:szCs w:val="20"/>
        </w:rPr>
        <w:t> </w:t>
      </w:r>
      <w:proofErr w:type="spellStart"/>
      <w:r w:rsidRPr="00FE76CA">
        <w:rPr>
          <w:sz w:val="20"/>
          <w:szCs w:val="20"/>
        </w:rPr>
        <w:t>Supiano</w:t>
      </w:r>
      <w:proofErr w:type="spellEnd"/>
      <w:r w:rsidRPr="00FE76CA">
        <w:rPr>
          <w:sz w:val="20"/>
          <w:szCs w:val="20"/>
        </w:rPr>
        <w:t xml:space="preserve">, Becky. (Sep 9, 2019). Sociologists Caution Colleges Not to Over-Rely on Student Evaluations of Teaching. </w:t>
      </w:r>
      <w:r w:rsidRPr="00FE76CA">
        <w:rPr>
          <w:i/>
          <w:iCs/>
          <w:sz w:val="20"/>
          <w:szCs w:val="20"/>
        </w:rPr>
        <w:t>Chronicle of Higher Education</w:t>
      </w:r>
      <w:r w:rsidRPr="00FE76CA">
        <w:rPr>
          <w:sz w:val="20"/>
          <w:szCs w:val="20"/>
        </w:rPr>
        <w:t>.</w:t>
      </w:r>
    </w:p>
    <w:p w:rsidR="00DB7A2E" w:rsidRPr="00FE76CA" w:rsidRDefault="006A01B6">
      <w:pPr>
        <w:rPr>
          <w:sz w:val="20"/>
          <w:szCs w:val="20"/>
        </w:rPr>
      </w:pPr>
      <w:r w:rsidRPr="00FE76CA">
        <w:rPr>
          <w:sz w:val="20"/>
          <w:szCs w:val="20"/>
        </w:rPr>
        <w:t xml:space="preserve">Guidelines from 2011 </w:t>
      </w:r>
      <w:r w:rsidR="00DB7A2E" w:rsidRPr="00FE76CA">
        <w:rPr>
          <w:sz w:val="20"/>
          <w:szCs w:val="20"/>
        </w:rPr>
        <w:t xml:space="preserve">Senate </w:t>
      </w:r>
      <w:r w:rsidRPr="00FE76CA">
        <w:rPr>
          <w:sz w:val="20"/>
          <w:szCs w:val="20"/>
        </w:rPr>
        <w:t>resolution</w:t>
      </w:r>
      <w:r w:rsidR="00DB7A2E" w:rsidRPr="00FE76CA">
        <w:rPr>
          <w:sz w:val="20"/>
          <w:szCs w:val="20"/>
        </w:rPr>
        <w:t xml:space="preserve"> on the Evaluation of Teaching and a list of Best Practices in teacher evaluation are </w:t>
      </w:r>
      <w:r w:rsidRPr="00FE76CA">
        <w:rPr>
          <w:sz w:val="20"/>
          <w:szCs w:val="20"/>
        </w:rPr>
        <w:t>still in force</w:t>
      </w:r>
      <w:r w:rsidR="00DB7A2E" w:rsidRPr="00FE76CA">
        <w:rPr>
          <w:sz w:val="20"/>
          <w:szCs w:val="20"/>
        </w:rPr>
        <w:t xml:space="preserve">. See: </w:t>
      </w:r>
      <w:hyperlink r:id="rId5" w:history="1">
        <w:r w:rsidR="00D108F7" w:rsidRPr="00FE76CA">
          <w:rPr>
            <w:rStyle w:val="Hyperlink"/>
            <w:sz w:val="20"/>
            <w:szCs w:val="20"/>
          </w:rPr>
          <w:t>https://fsn.tcu.edu/wp-content/uploads/2018/07/TeachEvalDoc05-11.pdf</w:t>
        </w:r>
      </w:hyperlink>
      <w:r w:rsidR="00DB7A2E" w:rsidRPr="00FE76CA">
        <w:rPr>
          <w:sz w:val="20"/>
          <w:szCs w:val="20"/>
        </w:rPr>
        <w:t xml:space="preserve">. </w:t>
      </w:r>
    </w:p>
    <w:p w:rsidR="00DB7A2E" w:rsidRPr="00FE76CA" w:rsidRDefault="00DB7A2E">
      <w:pPr>
        <w:rPr>
          <w:sz w:val="20"/>
          <w:szCs w:val="20"/>
        </w:rPr>
      </w:pPr>
      <w:r w:rsidRPr="00FE76CA">
        <w:rPr>
          <w:sz w:val="20"/>
          <w:szCs w:val="20"/>
        </w:rPr>
        <w:t>Discussion among senators e</w:t>
      </w:r>
      <w:r w:rsidR="006A01B6" w:rsidRPr="00FE76CA">
        <w:rPr>
          <w:sz w:val="20"/>
          <w:szCs w:val="20"/>
        </w:rPr>
        <w:t>mphasi</w:t>
      </w:r>
      <w:r w:rsidRPr="00FE76CA">
        <w:rPr>
          <w:sz w:val="20"/>
          <w:szCs w:val="20"/>
        </w:rPr>
        <w:t xml:space="preserve">zed the need for </w:t>
      </w:r>
      <w:r w:rsidR="006A01B6" w:rsidRPr="00FE76CA">
        <w:rPr>
          <w:sz w:val="20"/>
          <w:szCs w:val="20"/>
        </w:rPr>
        <w:t xml:space="preserve">equitable and judicious </w:t>
      </w:r>
      <w:r w:rsidRPr="00FE76CA">
        <w:rPr>
          <w:sz w:val="20"/>
          <w:szCs w:val="20"/>
        </w:rPr>
        <w:t xml:space="preserve">use </w:t>
      </w:r>
      <w:r w:rsidR="006A01B6" w:rsidRPr="00FE76CA">
        <w:rPr>
          <w:sz w:val="20"/>
          <w:szCs w:val="20"/>
        </w:rPr>
        <w:t xml:space="preserve">of SPOT </w:t>
      </w:r>
      <w:r w:rsidR="007A644B" w:rsidRPr="00FE76CA">
        <w:rPr>
          <w:sz w:val="20"/>
          <w:szCs w:val="20"/>
        </w:rPr>
        <w:t>feedb</w:t>
      </w:r>
      <w:r w:rsidR="006A01B6" w:rsidRPr="00FE76CA">
        <w:rPr>
          <w:sz w:val="20"/>
          <w:szCs w:val="20"/>
        </w:rPr>
        <w:t xml:space="preserve">ack. </w:t>
      </w:r>
      <w:r w:rsidR="007A644B" w:rsidRPr="00FE76CA">
        <w:rPr>
          <w:sz w:val="20"/>
          <w:szCs w:val="20"/>
        </w:rPr>
        <w:t xml:space="preserve"> Implementation of this recommendation will be up to the Provost and Deans. Colleagues are </w:t>
      </w:r>
      <w:r w:rsidRPr="00FE76CA">
        <w:rPr>
          <w:sz w:val="20"/>
          <w:szCs w:val="20"/>
        </w:rPr>
        <w:t xml:space="preserve">still </w:t>
      </w:r>
      <w:r w:rsidR="007A644B" w:rsidRPr="00FE76CA">
        <w:rPr>
          <w:sz w:val="20"/>
          <w:szCs w:val="20"/>
        </w:rPr>
        <w:t>concerned about this resolution—</w:t>
      </w:r>
      <w:r w:rsidRPr="00FE76CA">
        <w:rPr>
          <w:sz w:val="20"/>
          <w:szCs w:val="20"/>
        </w:rPr>
        <w:t xml:space="preserve">as </w:t>
      </w:r>
      <w:r w:rsidR="007A644B" w:rsidRPr="00FE76CA">
        <w:rPr>
          <w:sz w:val="20"/>
          <w:szCs w:val="20"/>
        </w:rPr>
        <w:t xml:space="preserve">removing student information </w:t>
      </w:r>
      <w:r w:rsidRPr="00FE76CA">
        <w:rPr>
          <w:sz w:val="20"/>
          <w:szCs w:val="20"/>
        </w:rPr>
        <w:t xml:space="preserve">can </w:t>
      </w:r>
      <w:r w:rsidR="007A644B" w:rsidRPr="00FE76CA">
        <w:rPr>
          <w:sz w:val="20"/>
          <w:szCs w:val="20"/>
        </w:rPr>
        <w:t xml:space="preserve">hinder an Advisory Committee’s ability to evaluate teaching for tenure and promotion recommendations. </w:t>
      </w:r>
      <w:r w:rsidRPr="00FE76CA">
        <w:rPr>
          <w:sz w:val="20"/>
          <w:szCs w:val="20"/>
        </w:rPr>
        <w:t xml:space="preserve">One senator suggested </w:t>
      </w:r>
      <w:r w:rsidR="007A644B" w:rsidRPr="00FE76CA">
        <w:rPr>
          <w:sz w:val="20"/>
          <w:szCs w:val="20"/>
        </w:rPr>
        <w:t xml:space="preserve">making a link in the recommendation to the Best Practices 2011 document. </w:t>
      </w:r>
      <w:r w:rsidRPr="00FE76CA">
        <w:rPr>
          <w:sz w:val="20"/>
          <w:szCs w:val="20"/>
        </w:rPr>
        <w:t xml:space="preserve">(See above.) Another senator suggested that </w:t>
      </w:r>
      <w:r w:rsidR="00AF4008" w:rsidRPr="00FE76CA">
        <w:rPr>
          <w:sz w:val="20"/>
          <w:szCs w:val="20"/>
        </w:rPr>
        <w:t xml:space="preserve">Deans and </w:t>
      </w:r>
      <w:r w:rsidRPr="00FE76CA">
        <w:rPr>
          <w:sz w:val="20"/>
          <w:szCs w:val="20"/>
        </w:rPr>
        <w:t>the Provost</w:t>
      </w:r>
      <w:r w:rsidR="00AF4008" w:rsidRPr="00FE76CA">
        <w:rPr>
          <w:sz w:val="20"/>
          <w:szCs w:val="20"/>
        </w:rPr>
        <w:t xml:space="preserve"> should read this recommendation as </w:t>
      </w:r>
      <w:r w:rsidRPr="00FE76CA">
        <w:rPr>
          <w:sz w:val="20"/>
          <w:szCs w:val="20"/>
        </w:rPr>
        <w:t>a</w:t>
      </w:r>
      <w:r w:rsidR="00AF4008" w:rsidRPr="00FE76CA">
        <w:rPr>
          <w:sz w:val="20"/>
          <w:szCs w:val="20"/>
        </w:rPr>
        <w:t xml:space="preserve"> notice that SPOTs are biased and</w:t>
      </w:r>
      <w:r w:rsidRPr="00FE76CA">
        <w:rPr>
          <w:sz w:val="20"/>
          <w:szCs w:val="20"/>
        </w:rPr>
        <w:t xml:space="preserve"> that</w:t>
      </w:r>
      <w:r w:rsidR="00AF4008" w:rsidRPr="00FE76CA">
        <w:rPr>
          <w:sz w:val="20"/>
          <w:szCs w:val="20"/>
        </w:rPr>
        <w:t xml:space="preserve"> there should be other mechanisms for teaching evaluation. Faculty reflection on the</w:t>
      </w:r>
      <w:r w:rsidRPr="00FE76CA">
        <w:rPr>
          <w:sz w:val="20"/>
          <w:szCs w:val="20"/>
        </w:rPr>
        <w:t>ir own</w:t>
      </w:r>
      <w:r w:rsidR="00AF4008" w:rsidRPr="00FE76CA">
        <w:rPr>
          <w:sz w:val="20"/>
          <w:szCs w:val="20"/>
        </w:rPr>
        <w:t xml:space="preserve"> </w:t>
      </w:r>
      <w:r w:rsidRPr="00FE76CA">
        <w:rPr>
          <w:sz w:val="20"/>
          <w:szCs w:val="20"/>
        </w:rPr>
        <w:t xml:space="preserve">SPOT </w:t>
      </w:r>
      <w:r w:rsidR="00AF4008" w:rsidRPr="00FE76CA">
        <w:rPr>
          <w:sz w:val="20"/>
          <w:szCs w:val="20"/>
        </w:rPr>
        <w:t xml:space="preserve">feedback could be </w:t>
      </w:r>
      <w:r w:rsidRPr="00FE76CA">
        <w:rPr>
          <w:sz w:val="20"/>
          <w:szCs w:val="20"/>
        </w:rPr>
        <w:t xml:space="preserve">a valuable </w:t>
      </w:r>
      <w:r w:rsidR="00AF4008" w:rsidRPr="00FE76CA">
        <w:rPr>
          <w:sz w:val="20"/>
          <w:szCs w:val="20"/>
        </w:rPr>
        <w:t>resource</w:t>
      </w:r>
      <w:r w:rsidRPr="00FE76CA">
        <w:rPr>
          <w:sz w:val="20"/>
          <w:szCs w:val="20"/>
        </w:rPr>
        <w:t>, according to another senator</w:t>
      </w:r>
      <w:r w:rsidR="00AF4008" w:rsidRPr="00FE76CA">
        <w:rPr>
          <w:sz w:val="20"/>
          <w:szCs w:val="20"/>
        </w:rPr>
        <w:t xml:space="preserve">. </w:t>
      </w:r>
      <w:r w:rsidRPr="00FE76CA">
        <w:rPr>
          <w:sz w:val="20"/>
          <w:szCs w:val="20"/>
        </w:rPr>
        <w:t xml:space="preserve">In answer to the question, </w:t>
      </w:r>
      <w:proofErr w:type="gramStart"/>
      <w:r w:rsidR="00AF4008" w:rsidRPr="00FE76CA">
        <w:rPr>
          <w:sz w:val="20"/>
          <w:szCs w:val="20"/>
        </w:rPr>
        <w:t>What</w:t>
      </w:r>
      <w:proofErr w:type="gramEnd"/>
      <w:r w:rsidR="00AF4008" w:rsidRPr="00FE76CA">
        <w:rPr>
          <w:sz w:val="20"/>
          <w:szCs w:val="20"/>
        </w:rPr>
        <w:t xml:space="preserve"> is the impact on SACS/accreditation of this recommendation? Clark Jones </w:t>
      </w:r>
      <w:r w:rsidRPr="00FE76CA">
        <w:rPr>
          <w:sz w:val="20"/>
          <w:szCs w:val="20"/>
        </w:rPr>
        <w:t>replied</w:t>
      </w:r>
      <w:r w:rsidR="00AF4008" w:rsidRPr="00FE76CA">
        <w:rPr>
          <w:sz w:val="20"/>
          <w:szCs w:val="20"/>
        </w:rPr>
        <w:t xml:space="preserve"> that he has checked on that question and </w:t>
      </w:r>
      <w:r w:rsidRPr="00FE76CA">
        <w:rPr>
          <w:sz w:val="20"/>
          <w:szCs w:val="20"/>
        </w:rPr>
        <w:t xml:space="preserve">that, </w:t>
      </w:r>
      <w:r w:rsidR="00AF4008" w:rsidRPr="00FE76CA">
        <w:rPr>
          <w:sz w:val="20"/>
          <w:szCs w:val="20"/>
        </w:rPr>
        <w:t xml:space="preserve">no, it’s not an issue. </w:t>
      </w:r>
      <w:r w:rsidRPr="00FE76CA">
        <w:rPr>
          <w:sz w:val="20"/>
          <w:szCs w:val="20"/>
        </w:rPr>
        <w:t>Another senator reiterated that s</w:t>
      </w:r>
      <w:r w:rsidR="00AF4008" w:rsidRPr="00FE76CA">
        <w:rPr>
          <w:sz w:val="20"/>
          <w:szCs w:val="20"/>
        </w:rPr>
        <w:t>tudents need to have a voice</w:t>
      </w:r>
      <w:r w:rsidRPr="00FE76CA">
        <w:rPr>
          <w:sz w:val="20"/>
          <w:szCs w:val="20"/>
        </w:rPr>
        <w:t>, and that a</w:t>
      </w:r>
      <w:r w:rsidR="00AF4008" w:rsidRPr="00FE76CA">
        <w:rPr>
          <w:sz w:val="20"/>
          <w:szCs w:val="20"/>
        </w:rPr>
        <w:t xml:space="preserve">dministrators need to have data. </w:t>
      </w:r>
      <w:r w:rsidRPr="00FE76CA">
        <w:rPr>
          <w:sz w:val="20"/>
          <w:szCs w:val="20"/>
        </w:rPr>
        <w:t>Nevertheless, SPOTS is a p</w:t>
      </w:r>
      <w:r w:rsidR="00AF4008" w:rsidRPr="00FE76CA">
        <w:rPr>
          <w:sz w:val="20"/>
          <w:szCs w:val="20"/>
        </w:rPr>
        <w:t xml:space="preserve">roblematic instrument that disadvantages women and marginalized groups. </w:t>
      </w:r>
      <w:r w:rsidRPr="00FE76CA">
        <w:rPr>
          <w:sz w:val="20"/>
          <w:szCs w:val="20"/>
        </w:rPr>
        <w:t>One senator insisted that TCU s</w:t>
      </w:r>
      <w:r w:rsidR="00AF4008" w:rsidRPr="00FE76CA">
        <w:rPr>
          <w:sz w:val="20"/>
          <w:szCs w:val="20"/>
        </w:rPr>
        <w:t xml:space="preserve">houldn’t use SPOTs for even </w:t>
      </w:r>
      <w:r w:rsidR="00E04658" w:rsidRPr="00FE76CA">
        <w:rPr>
          <w:sz w:val="20"/>
          <w:szCs w:val="20"/>
        </w:rPr>
        <w:t>1/3</w:t>
      </w:r>
      <w:r w:rsidR="00AF4008" w:rsidRPr="00FE76CA">
        <w:rPr>
          <w:sz w:val="20"/>
          <w:szCs w:val="20"/>
        </w:rPr>
        <w:t xml:space="preserve"> of teaching evaluation</w:t>
      </w:r>
      <w:r w:rsidRPr="00FE76CA">
        <w:rPr>
          <w:sz w:val="20"/>
          <w:szCs w:val="20"/>
        </w:rPr>
        <w:t xml:space="preserve"> (per the 2011 FS document)</w:t>
      </w:r>
      <w:r w:rsidR="00AF4008" w:rsidRPr="00FE76CA">
        <w:rPr>
          <w:sz w:val="20"/>
          <w:szCs w:val="20"/>
        </w:rPr>
        <w:t xml:space="preserve">. </w:t>
      </w:r>
    </w:p>
    <w:p w:rsidR="006A01B6" w:rsidRPr="00FE76CA" w:rsidRDefault="00DB7A2E">
      <w:pPr>
        <w:rPr>
          <w:sz w:val="20"/>
          <w:szCs w:val="20"/>
        </w:rPr>
      </w:pPr>
      <w:r w:rsidRPr="00FE76CA">
        <w:rPr>
          <w:sz w:val="20"/>
          <w:szCs w:val="20"/>
        </w:rPr>
        <w:t>At last, the question was called, and the Senate voted. The resolution</w:t>
      </w:r>
      <w:r w:rsidR="00E04658" w:rsidRPr="00FE76CA">
        <w:rPr>
          <w:sz w:val="20"/>
          <w:szCs w:val="20"/>
        </w:rPr>
        <w:t xml:space="preserve"> passed wit</w:t>
      </w:r>
      <w:r w:rsidRPr="00FE76CA">
        <w:rPr>
          <w:sz w:val="20"/>
          <w:szCs w:val="20"/>
        </w:rPr>
        <w:t>h three senators voting against it, and one abstaining.</w:t>
      </w:r>
    </w:p>
    <w:p w:rsidR="005421D5" w:rsidRPr="00FE76CA" w:rsidRDefault="00DB7A2E">
      <w:pPr>
        <w:rPr>
          <w:sz w:val="20"/>
          <w:szCs w:val="20"/>
        </w:rPr>
      </w:pPr>
      <w:r w:rsidRPr="00FE76CA">
        <w:rPr>
          <w:sz w:val="20"/>
          <w:szCs w:val="20"/>
        </w:rPr>
        <w:t xml:space="preserve">Next, </w:t>
      </w:r>
      <w:r w:rsidR="00E04658" w:rsidRPr="00FE76CA">
        <w:rPr>
          <w:b/>
          <w:sz w:val="20"/>
          <w:szCs w:val="20"/>
        </w:rPr>
        <w:t>Phil Esposito</w:t>
      </w:r>
      <w:r w:rsidRPr="00FE76CA">
        <w:rPr>
          <w:b/>
          <w:sz w:val="20"/>
          <w:szCs w:val="20"/>
        </w:rPr>
        <w:t>, chair of the Student Relations Committee,</w:t>
      </w:r>
      <w:r w:rsidR="00E04658" w:rsidRPr="00FE76CA">
        <w:rPr>
          <w:sz w:val="20"/>
          <w:szCs w:val="20"/>
        </w:rPr>
        <w:t xml:space="preserve"> and J</w:t>
      </w:r>
      <w:r w:rsidR="00E04658" w:rsidRPr="00FE76CA">
        <w:rPr>
          <w:b/>
          <w:sz w:val="20"/>
          <w:szCs w:val="20"/>
        </w:rPr>
        <w:t xml:space="preserve">osh </w:t>
      </w:r>
      <w:proofErr w:type="spellStart"/>
      <w:r w:rsidR="00E04658" w:rsidRPr="00FE76CA">
        <w:rPr>
          <w:b/>
          <w:sz w:val="20"/>
          <w:szCs w:val="20"/>
        </w:rPr>
        <w:t>Witkop</w:t>
      </w:r>
      <w:proofErr w:type="spellEnd"/>
      <w:r w:rsidRPr="00FE76CA">
        <w:rPr>
          <w:b/>
          <w:sz w:val="20"/>
          <w:szCs w:val="20"/>
        </w:rPr>
        <w:t>, Student Body President</w:t>
      </w:r>
      <w:r w:rsidRPr="00FE76CA">
        <w:rPr>
          <w:sz w:val="20"/>
          <w:szCs w:val="20"/>
        </w:rPr>
        <w:t>,</w:t>
      </w:r>
      <w:r w:rsidR="00E04658" w:rsidRPr="00FE76CA">
        <w:rPr>
          <w:sz w:val="20"/>
          <w:szCs w:val="20"/>
        </w:rPr>
        <w:t xml:space="preserve"> brought the </w:t>
      </w:r>
      <w:r w:rsidR="00E04658" w:rsidRPr="00FE76CA">
        <w:rPr>
          <w:b/>
          <w:sz w:val="20"/>
          <w:szCs w:val="20"/>
        </w:rPr>
        <w:t>P</w:t>
      </w:r>
      <w:r w:rsidR="005421D5" w:rsidRPr="00FE76CA">
        <w:rPr>
          <w:b/>
          <w:sz w:val="20"/>
          <w:szCs w:val="20"/>
        </w:rPr>
        <w:t>ass</w:t>
      </w:r>
      <w:r w:rsidR="00E04658" w:rsidRPr="00FE76CA">
        <w:rPr>
          <w:b/>
          <w:sz w:val="20"/>
          <w:szCs w:val="20"/>
        </w:rPr>
        <w:t>/N</w:t>
      </w:r>
      <w:r w:rsidR="005421D5" w:rsidRPr="00FE76CA">
        <w:rPr>
          <w:b/>
          <w:sz w:val="20"/>
          <w:szCs w:val="20"/>
        </w:rPr>
        <w:t xml:space="preserve">o </w:t>
      </w:r>
      <w:r w:rsidR="00E04658" w:rsidRPr="00FE76CA">
        <w:rPr>
          <w:b/>
          <w:sz w:val="20"/>
          <w:szCs w:val="20"/>
        </w:rPr>
        <w:t>C</w:t>
      </w:r>
      <w:r w:rsidR="005421D5" w:rsidRPr="00FE76CA">
        <w:rPr>
          <w:b/>
          <w:sz w:val="20"/>
          <w:szCs w:val="20"/>
        </w:rPr>
        <w:t>redit</w:t>
      </w:r>
      <w:r w:rsidR="00E04658" w:rsidRPr="00FE76CA">
        <w:rPr>
          <w:b/>
          <w:sz w:val="20"/>
          <w:szCs w:val="20"/>
        </w:rPr>
        <w:t xml:space="preserve"> Resolution</w:t>
      </w:r>
      <w:r w:rsidR="00E04658" w:rsidRPr="00FE76CA">
        <w:rPr>
          <w:sz w:val="20"/>
          <w:szCs w:val="20"/>
        </w:rPr>
        <w:t xml:space="preserve"> (developed in partnership </w:t>
      </w:r>
      <w:r w:rsidR="005B44C4" w:rsidRPr="00FE76CA">
        <w:rPr>
          <w:sz w:val="20"/>
          <w:szCs w:val="20"/>
        </w:rPr>
        <w:t>between the</w:t>
      </w:r>
      <w:r w:rsidR="00E04658" w:rsidRPr="00FE76CA">
        <w:rPr>
          <w:sz w:val="20"/>
          <w:szCs w:val="20"/>
        </w:rPr>
        <w:t xml:space="preserve"> SGA and the Student Relations Committee) to the Senate. This resolution will add flexibility for students who</w:t>
      </w:r>
      <w:r w:rsidR="005B44C4" w:rsidRPr="00FE76CA">
        <w:rPr>
          <w:sz w:val="20"/>
          <w:szCs w:val="20"/>
        </w:rPr>
        <w:t xml:space="preserve"> declare</w:t>
      </w:r>
      <w:r w:rsidR="00E04658" w:rsidRPr="00FE76CA">
        <w:rPr>
          <w:sz w:val="20"/>
          <w:szCs w:val="20"/>
        </w:rPr>
        <w:t xml:space="preserve"> P/NC in a class to decide, within 48 hours of receiving their letter grade for a class, to have the opportunity of taking the grade or not. </w:t>
      </w:r>
      <w:r w:rsidR="005B44C4" w:rsidRPr="00FE76CA">
        <w:rPr>
          <w:sz w:val="20"/>
          <w:szCs w:val="20"/>
        </w:rPr>
        <w:t xml:space="preserve">Their </w:t>
      </w:r>
      <w:r w:rsidR="00E04658" w:rsidRPr="00FE76CA">
        <w:rPr>
          <w:sz w:val="20"/>
          <w:szCs w:val="20"/>
        </w:rPr>
        <w:t xml:space="preserve">P/NC </w:t>
      </w:r>
      <w:r w:rsidR="005B44C4" w:rsidRPr="00FE76CA">
        <w:rPr>
          <w:sz w:val="20"/>
          <w:szCs w:val="20"/>
        </w:rPr>
        <w:t xml:space="preserve">option </w:t>
      </w:r>
      <w:r w:rsidR="00E04658" w:rsidRPr="00FE76CA">
        <w:rPr>
          <w:sz w:val="20"/>
          <w:szCs w:val="20"/>
        </w:rPr>
        <w:t>will be</w:t>
      </w:r>
      <w:r w:rsidR="005B44C4" w:rsidRPr="00FE76CA">
        <w:rPr>
          <w:sz w:val="20"/>
          <w:szCs w:val="20"/>
        </w:rPr>
        <w:t xml:space="preserve"> considered “used,” </w:t>
      </w:r>
      <w:r w:rsidR="00E04658" w:rsidRPr="00FE76CA">
        <w:rPr>
          <w:sz w:val="20"/>
          <w:szCs w:val="20"/>
        </w:rPr>
        <w:t>by having been opted for</w:t>
      </w:r>
      <w:r w:rsidR="005B44C4" w:rsidRPr="00FE76CA">
        <w:rPr>
          <w:sz w:val="20"/>
          <w:szCs w:val="20"/>
        </w:rPr>
        <w:t xml:space="preserve">; however, </w:t>
      </w:r>
      <w:r w:rsidR="00E04658" w:rsidRPr="00FE76CA">
        <w:rPr>
          <w:sz w:val="20"/>
          <w:szCs w:val="20"/>
        </w:rPr>
        <w:t>student</w:t>
      </w:r>
      <w:r w:rsidR="005B44C4" w:rsidRPr="00FE76CA">
        <w:rPr>
          <w:sz w:val="20"/>
          <w:szCs w:val="20"/>
        </w:rPr>
        <w:t>s</w:t>
      </w:r>
      <w:r w:rsidR="00E04658" w:rsidRPr="00FE76CA">
        <w:rPr>
          <w:sz w:val="20"/>
          <w:szCs w:val="20"/>
        </w:rPr>
        <w:t xml:space="preserve"> could still opt to keep their grade. </w:t>
      </w:r>
    </w:p>
    <w:p w:rsidR="005421D5" w:rsidRPr="00FE76CA" w:rsidRDefault="005421D5" w:rsidP="005421D5">
      <w:pPr>
        <w:spacing w:after="0" w:line="240" w:lineRule="auto"/>
        <w:rPr>
          <w:sz w:val="20"/>
          <w:szCs w:val="20"/>
        </w:rPr>
      </w:pPr>
      <w:r w:rsidRPr="00FE76CA">
        <w:rPr>
          <w:sz w:val="20"/>
          <w:szCs w:val="20"/>
        </w:rPr>
        <w:t xml:space="preserve">Core of the resolution: </w:t>
      </w:r>
      <w:r w:rsidRPr="00FE76CA">
        <w:rPr>
          <w:b/>
          <w:sz w:val="20"/>
          <w:szCs w:val="20"/>
        </w:rPr>
        <w:t>Let it be resolved that the TCU Faculty Senate, in its role as the representative body of the TCU faculty, joins with the TCU Student Government Association (SGA) in increasing and reaffirming our commitment to student learning and success by amending the current Pass / No Credit option to allow students an opportunity to forfeit their Pass/No Credit to receive the actual letter grade earned.</w:t>
      </w:r>
    </w:p>
    <w:p w:rsidR="00E04658" w:rsidRPr="00FE76CA" w:rsidRDefault="005421D5">
      <w:pPr>
        <w:rPr>
          <w:sz w:val="20"/>
          <w:szCs w:val="20"/>
        </w:rPr>
      </w:pPr>
      <w:r w:rsidRPr="00FE76CA">
        <w:rPr>
          <w:sz w:val="20"/>
          <w:szCs w:val="20"/>
        </w:rPr>
        <w:t xml:space="preserve">Comments and questions from the Senate highlighted the need to clarify </w:t>
      </w:r>
      <w:r w:rsidR="00E04658" w:rsidRPr="00FE76CA">
        <w:rPr>
          <w:sz w:val="20"/>
          <w:szCs w:val="20"/>
        </w:rPr>
        <w:t xml:space="preserve">that the 48 hours </w:t>
      </w:r>
      <w:r w:rsidRPr="00FE76CA">
        <w:rPr>
          <w:sz w:val="20"/>
          <w:szCs w:val="20"/>
        </w:rPr>
        <w:t>begins</w:t>
      </w:r>
      <w:r w:rsidR="00E04658" w:rsidRPr="00FE76CA">
        <w:rPr>
          <w:sz w:val="20"/>
          <w:szCs w:val="20"/>
        </w:rPr>
        <w:t xml:space="preserve"> </w:t>
      </w:r>
      <w:r w:rsidR="00E04658" w:rsidRPr="00FE76CA">
        <w:rPr>
          <w:sz w:val="20"/>
          <w:szCs w:val="20"/>
          <w:u w:val="single"/>
        </w:rPr>
        <w:t>after</w:t>
      </w:r>
      <w:r w:rsidR="00E04658" w:rsidRPr="00FE76CA">
        <w:rPr>
          <w:sz w:val="20"/>
          <w:szCs w:val="20"/>
        </w:rPr>
        <w:t xml:space="preserve"> </w:t>
      </w:r>
      <w:r w:rsidRPr="00FE76CA">
        <w:rPr>
          <w:sz w:val="20"/>
          <w:szCs w:val="20"/>
        </w:rPr>
        <w:t xml:space="preserve">the </w:t>
      </w:r>
      <w:r w:rsidR="00E04658" w:rsidRPr="00FE76CA">
        <w:rPr>
          <w:sz w:val="20"/>
          <w:szCs w:val="20"/>
        </w:rPr>
        <w:t>grade is posted</w:t>
      </w:r>
      <w:r w:rsidRPr="00FE76CA">
        <w:rPr>
          <w:sz w:val="20"/>
          <w:szCs w:val="20"/>
        </w:rPr>
        <w:t>, that t</w:t>
      </w:r>
      <w:r w:rsidR="00E04658" w:rsidRPr="00FE76CA">
        <w:rPr>
          <w:sz w:val="20"/>
          <w:szCs w:val="20"/>
        </w:rPr>
        <w:t>iming issues will be critical for graduating seniors</w:t>
      </w:r>
      <w:r w:rsidRPr="00FE76CA">
        <w:rPr>
          <w:sz w:val="20"/>
          <w:szCs w:val="20"/>
        </w:rPr>
        <w:t>, that r</w:t>
      </w:r>
      <w:r w:rsidR="007F6B0A" w:rsidRPr="00FE76CA">
        <w:rPr>
          <w:sz w:val="20"/>
          <w:szCs w:val="20"/>
        </w:rPr>
        <w:t xml:space="preserve">esponsibility for changing the grade from P/NC to a grade </w:t>
      </w:r>
      <w:r w:rsidRPr="00FE76CA">
        <w:rPr>
          <w:sz w:val="20"/>
          <w:szCs w:val="20"/>
        </w:rPr>
        <w:t>belongs to</w:t>
      </w:r>
      <w:r w:rsidR="007F6B0A" w:rsidRPr="00FE76CA">
        <w:rPr>
          <w:sz w:val="20"/>
          <w:szCs w:val="20"/>
        </w:rPr>
        <w:t xml:space="preserve"> the student</w:t>
      </w:r>
      <w:r w:rsidRPr="00FE76CA">
        <w:rPr>
          <w:sz w:val="20"/>
          <w:szCs w:val="20"/>
        </w:rPr>
        <w:t>, etc</w:t>
      </w:r>
      <w:r w:rsidR="007F6B0A" w:rsidRPr="00FE76CA">
        <w:rPr>
          <w:sz w:val="20"/>
          <w:szCs w:val="20"/>
        </w:rPr>
        <w:t xml:space="preserve">. </w:t>
      </w:r>
      <w:r w:rsidR="00E04658" w:rsidRPr="00FE76CA">
        <w:rPr>
          <w:sz w:val="20"/>
          <w:szCs w:val="20"/>
        </w:rPr>
        <w:t xml:space="preserve">Mechanics and timeframes are still uncertain and </w:t>
      </w:r>
      <w:r w:rsidRPr="00FE76CA">
        <w:rPr>
          <w:sz w:val="20"/>
          <w:szCs w:val="20"/>
        </w:rPr>
        <w:t xml:space="preserve">will </w:t>
      </w:r>
      <w:r w:rsidR="00E04658" w:rsidRPr="00FE76CA">
        <w:rPr>
          <w:sz w:val="20"/>
          <w:szCs w:val="20"/>
        </w:rPr>
        <w:t xml:space="preserve">depend on the Registrar. </w:t>
      </w:r>
      <w:r w:rsidR="007F6B0A" w:rsidRPr="00FE76CA">
        <w:rPr>
          <w:sz w:val="20"/>
          <w:szCs w:val="20"/>
        </w:rPr>
        <w:t>Lots of discussion</w:t>
      </w:r>
      <w:r w:rsidR="008F2894" w:rsidRPr="00FE76CA">
        <w:rPr>
          <w:sz w:val="20"/>
          <w:szCs w:val="20"/>
        </w:rPr>
        <w:t xml:space="preserve"> followed comments questioning a </w:t>
      </w:r>
      <w:r w:rsidR="008D3675" w:rsidRPr="00FE76CA">
        <w:rPr>
          <w:sz w:val="20"/>
          <w:szCs w:val="20"/>
        </w:rPr>
        <w:t>“</w:t>
      </w:r>
      <w:r w:rsidR="008F2894" w:rsidRPr="00FE76CA">
        <w:rPr>
          <w:sz w:val="20"/>
          <w:szCs w:val="20"/>
        </w:rPr>
        <w:t>whereas</w:t>
      </w:r>
      <w:r w:rsidR="008D3675" w:rsidRPr="00FE76CA">
        <w:rPr>
          <w:sz w:val="20"/>
          <w:szCs w:val="20"/>
        </w:rPr>
        <w:t>”</w:t>
      </w:r>
      <w:r w:rsidR="008F2894" w:rsidRPr="00FE76CA">
        <w:rPr>
          <w:sz w:val="20"/>
          <w:szCs w:val="20"/>
        </w:rPr>
        <w:t xml:space="preserve"> clause, </w:t>
      </w:r>
      <w:r w:rsidR="008D3675" w:rsidRPr="00FE76CA">
        <w:rPr>
          <w:sz w:val="20"/>
          <w:szCs w:val="20"/>
        </w:rPr>
        <w:t>implying that it’s the</w:t>
      </w:r>
      <w:r w:rsidR="008F2894" w:rsidRPr="00FE76CA">
        <w:rPr>
          <w:sz w:val="20"/>
          <w:szCs w:val="20"/>
        </w:rPr>
        <w:t xml:space="preserve"> </w:t>
      </w:r>
      <w:r w:rsidR="008D3675" w:rsidRPr="00FE76CA">
        <w:rPr>
          <w:sz w:val="20"/>
          <w:szCs w:val="20"/>
        </w:rPr>
        <w:t>current policy’s</w:t>
      </w:r>
      <w:r w:rsidR="008F2894" w:rsidRPr="00FE76CA">
        <w:rPr>
          <w:sz w:val="20"/>
          <w:szCs w:val="20"/>
        </w:rPr>
        <w:t xml:space="preserve"> fault that students opting for P/NC become disengaged from </w:t>
      </w:r>
      <w:r w:rsidR="008D3675" w:rsidRPr="00FE76CA">
        <w:rPr>
          <w:sz w:val="20"/>
          <w:szCs w:val="20"/>
        </w:rPr>
        <w:t xml:space="preserve">these </w:t>
      </w:r>
      <w:r w:rsidR="008F2894" w:rsidRPr="00FE76CA">
        <w:rPr>
          <w:sz w:val="20"/>
          <w:szCs w:val="20"/>
        </w:rPr>
        <w:t>class</w:t>
      </w:r>
      <w:r w:rsidR="008D3675" w:rsidRPr="00FE76CA">
        <w:rPr>
          <w:sz w:val="20"/>
          <w:szCs w:val="20"/>
        </w:rPr>
        <w:t>es</w:t>
      </w:r>
      <w:r w:rsidR="008F2894" w:rsidRPr="00FE76CA">
        <w:rPr>
          <w:sz w:val="20"/>
          <w:szCs w:val="20"/>
        </w:rPr>
        <w:t>. Different perspectives were noted between</w:t>
      </w:r>
      <w:r w:rsidR="007F6B0A" w:rsidRPr="00FE76CA">
        <w:rPr>
          <w:sz w:val="20"/>
          <w:szCs w:val="20"/>
        </w:rPr>
        <w:t xml:space="preserve"> faculty teaching upper level classes v. faculty teaching in the Core. No </w:t>
      </w:r>
      <w:r w:rsidR="008F2894" w:rsidRPr="00FE76CA">
        <w:rPr>
          <w:sz w:val="20"/>
          <w:szCs w:val="20"/>
        </w:rPr>
        <w:t>“</w:t>
      </w:r>
      <w:r w:rsidR="007F6B0A" w:rsidRPr="00FE76CA">
        <w:rPr>
          <w:sz w:val="20"/>
          <w:szCs w:val="20"/>
        </w:rPr>
        <w:t>downside</w:t>
      </w:r>
      <w:r w:rsidR="008F2894" w:rsidRPr="00FE76CA">
        <w:rPr>
          <w:sz w:val="20"/>
          <w:szCs w:val="20"/>
        </w:rPr>
        <w:t>”</w:t>
      </w:r>
      <w:r w:rsidR="007F6B0A" w:rsidRPr="00FE76CA">
        <w:rPr>
          <w:sz w:val="20"/>
          <w:szCs w:val="20"/>
        </w:rPr>
        <w:t xml:space="preserve"> </w:t>
      </w:r>
      <w:r w:rsidR="008F2894" w:rsidRPr="00FE76CA">
        <w:rPr>
          <w:sz w:val="20"/>
          <w:szCs w:val="20"/>
        </w:rPr>
        <w:t>to the resolution emerged</w:t>
      </w:r>
      <w:r w:rsidR="007F6B0A" w:rsidRPr="00FE76CA">
        <w:rPr>
          <w:sz w:val="20"/>
          <w:szCs w:val="20"/>
        </w:rPr>
        <w:t>.</w:t>
      </w:r>
      <w:r w:rsidR="008F2894" w:rsidRPr="00FE76CA">
        <w:rPr>
          <w:sz w:val="20"/>
          <w:szCs w:val="20"/>
        </w:rPr>
        <w:t xml:space="preserve"> Rather, this recommendation would in</w:t>
      </w:r>
      <w:r w:rsidR="007F6B0A" w:rsidRPr="00FE76CA">
        <w:rPr>
          <w:sz w:val="20"/>
          <w:szCs w:val="20"/>
        </w:rPr>
        <w:t>centivize student</w:t>
      </w:r>
      <w:r w:rsidR="008F2894" w:rsidRPr="00FE76CA">
        <w:rPr>
          <w:sz w:val="20"/>
          <w:szCs w:val="20"/>
        </w:rPr>
        <w:t>s’</w:t>
      </w:r>
      <w:r w:rsidR="007F6B0A" w:rsidRPr="00FE76CA">
        <w:rPr>
          <w:sz w:val="20"/>
          <w:szCs w:val="20"/>
        </w:rPr>
        <w:t xml:space="preserve"> continued engagement in classes in which they have declared P/NC. </w:t>
      </w:r>
      <w:r w:rsidR="008F2894" w:rsidRPr="00FE76CA">
        <w:rPr>
          <w:sz w:val="20"/>
          <w:szCs w:val="20"/>
        </w:rPr>
        <w:t>Senators were urged to t</w:t>
      </w:r>
      <w:r w:rsidR="007F6B0A" w:rsidRPr="00FE76CA">
        <w:rPr>
          <w:sz w:val="20"/>
          <w:szCs w:val="20"/>
        </w:rPr>
        <w:t xml:space="preserve">ake this issue back to </w:t>
      </w:r>
      <w:r w:rsidR="008F2894" w:rsidRPr="00FE76CA">
        <w:rPr>
          <w:sz w:val="20"/>
          <w:szCs w:val="20"/>
        </w:rPr>
        <w:t>their</w:t>
      </w:r>
      <w:r w:rsidR="007F6B0A" w:rsidRPr="00FE76CA">
        <w:rPr>
          <w:sz w:val="20"/>
          <w:szCs w:val="20"/>
        </w:rPr>
        <w:t xml:space="preserve"> departments</w:t>
      </w:r>
      <w:r w:rsidR="008F2894" w:rsidRPr="00FE76CA">
        <w:rPr>
          <w:sz w:val="20"/>
          <w:szCs w:val="20"/>
        </w:rPr>
        <w:t xml:space="preserve"> for discussion</w:t>
      </w:r>
      <w:r w:rsidR="007F6B0A" w:rsidRPr="00FE76CA">
        <w:rPr>
          <w:sz w:val="20"/>
          <w:szCs w:val="20"/>
        </w:rPr>
        <w:t xml:space="preserve">. </w:t>
      </w:r>
      <w:r w:rsidR="008F2894" w:rsidRPr="00FE76CA">
        <w:rPr>
          <w:sz w:val="20"/>
          <w:szCs w:val="20"/>
        </w:rPr>
        <w:t xml:space="preserve">Please </w:t>
      </w:r>
      <w:r w:rsidR="008F2894" w:rsidRPr="00FE76CA">
        <w:rPr>
          <w:b/>
          <w:sz w:val="20"/>
          <w:szCs w:val="20"/>
        </w:rPr>
        <w:t>s</w:t>
      </w:r>
      <w:r w:rsidR="007F6B0A" w:rsidRPr="00FE76CA">
        <w:rPr>
          <w:b/>
          <w:sz w:val="20"/>
          <w:szCs w:val="20"/>
        </w:rPr>
        <w:t>end your feedback and recommenda</w:t>
      </w:r>
      <w:r w:rsidR="00082AF8" w:rsidRPr="00FE76CA">
        <w:rPr>
          <w:b/>
          <w:sz w:val="20"/>
          <w:szCs w:val="20"/>
        </w:rPr>
        <w:t>tions to Phil Esposito</w:t>
      </w:r>
      <w:r w:rsidR="00AA2F8F" w:rsidRPr="00FE76CA">
        <w:rPr>
          <w:sz w:val="20"/>
          <w:szCs w:val="20"/>
        </w:rPr>
        <w:t xml:space="preserve">, </w:t>
      </w:r>
      <w:hyperlink r:id="rId6" w:history="1">
        <w:r w:rsidR="00AA2F8F" w:rsidRPr="00FE76CA">
          <w:rPr>
            <w:rStyle w:val="Hyperlink"/>
            <w:sz w:val="20"/>
            <w:szCs w:val="20"/>
          </w:rPr>
          <w:t>p.esposito@tcu.edu</w:t>
        </w:r>
      </w:hyperlink>
      <w:r w:rsidR="00AA2F8F" w:rsidRPr="00FE76CA">
        <w:rPr>
          <w:sz w:val="20"/>
          <w:szCs w:val="20"/>
        </w:rPr>
        <w:t xml:space="preserve"> </w:t>
      </w:r>
    </w:p>
    <w:p w:rsidR="008D3675" w:rsidRPr="00FE76CA" w:rsidRDefault="008D3675">
      <w:pPr>
        <w:rPr>
          <w:b/>
          <w:i/>
          <w:sz w:val="20"/>
          <w:szCs w:val="20"/>
        </w:rPr>
      </w:pPr>
      <w:r w:rsidRPr="00FE76CA">
        <w:rPr>
          <w:b/>
          <w:sz w:val="20"/>
          <w:szCs w:val="20"/>
        </w:rPr>
        <w:t xml:space="preserve">Ted </w:t>
      </w:r>
      <w:proofErr w:type="spellStart"/>
      <w:r w:rsidRPr="00FE76CA">
        <w:rPr>
          <w:b/>
          <w:sz w:val="20"/>
          <w:szCs w:val="20"/>
        </w:rPr>
        <w:t>Legatski</w:t>
      </w:r>
      <w:proofErr w:type="spellEnd"/>
      <w:r w:rsidRPr="00FE76CA">
        <w:rPr>
          <w:b/>
          <w:sz w:val="20"/>
          <w:szCs w:val="20"/>
        </w:rPr>
        <w:t xml:space="preserve">, co-chair of UCAC, </w:t>
      </w:r>
      <w:r w:rsidR="00082AF8" w:rsidRPr="00FE76CA">
        <w:rPr>
          <w:sz w:val="20"/>
          <w:szCs w:val="20"/>
        </w:rPr>
        <w:t xml:space="preserve">brought an update on </w:t>
      </w:r>
      <w:r w:rsidR="007F6B0A" w:rsidRPr="00FE76CA">
        <w:rPr>
          <w:sz w:val="20"/>
          <w:szCs w:val="20"/>
        </w:rPr>
        <w:t>the</w:t>
      </w:r>
      <w:r w:rsidR="007F6B0A" w:rsidRPr="00FE76CA">
        <w:rPr>
          <w:b/>
          <w:sz w:val="20"/>
          <w:szCs w:val="20"/>
        </w:rPr>
        <w:t xml:space="preserve"> UCAC’s charge</w:t>
      </w:r>
      <w:r w:rsidRPr="00FE76CA">
        <w:rPr>
          <w:b/>
          <w:sz w:val="20"/>
          <w:szCs w:val="20"/>
        </w:rPr>
        <w:t xml:space="preserve"> from the Chancellor</w:t>
      </w:r>
      <w:r w:rsidR="007F6B0A" w:rsidRPr="00FE76CA">
        <w:rPr>
          <w:b/>
          <w:sz w:val="20"/>
          <w:szCs w:val="20"/>
        </w:rPr>
        <w:t xml:space="preserve"> </w:t>
      </w:r>
      <w:r w:rsidRPr="00FE76CA">
        <w:rPr>
          <w:b/>
          <w:sz w:val="20"/>
          <w:szCs w:val="20"/>
        </w:rPr>
        <w:t xml:space="preserve">regarding </w:t>
      </w:r>
      <w:r w:rsidR="007F6B0A" w:rsidRPr="00FE76CA">
        <w:rPr>
          <w:b/>
          <w:sz w:val="20"/>
          <w:szCs w:val="20"/>
        </w:rPr>
        <w:t>Benefits</w:t>
      </w:r>
      <w:r w:rsidR="007F6B0A" w:rsidRPr="00FE76CA">
        <w:rPr>
          <w:sz w:val="20"/>
          <w:szCs w:val="20"/>
        </w:rPr>
        <w:t xml:space="preserve">. </w:t>
      </w:r>
      <w:r w:rsidRPr="00FE76CA">
        <w:rPr>
          <w:sz w:val="20"/>
          <w:szCs w:val="20"/>
        </w:rPr>
        <w:t>The charge (from 9/10/19) reads:</w:t>
      </w:r>
      <w:r w:rsidRPr="00FE76CA">
        <w:rPr>
          <w:b/>
          <w:i/>
          <w:sz w:val="20"/>
          <w:szCs w:val="20"/>
        </w:rPr>
        <w:t xml:space="preserve"> UCAC is to recommend a new employee benefits package (for future employees only) that is competitive, fiscally sustainable, and socialized with university governance. </w:t>
      </w:r>
    </w:p>
    <w:p w:rsidR="007F6B0A" w:rsidRPr="00FE76CA" w:rsidRDefault="008D3675">
      <w:pPr>
        <w:rPr>
          <w:sz w:val="20"/>
          <w:szCs w:val="20"/>
        </w:rPr>
      </w:pPr>
      <w:proofErr w:type="spellStart"/>
      <w:r w:rsidRPr="00FE76CA">
        <w:rPr>
          <w:sz w:val="20"/>
          <w:szCs w:val="20"/>
        </w:rPr>
        <w:lastRenderedPageBreak/>
        <w:t>Legatski</w:t>
      </w:r>
      <w:proofErr w:type="spellEnd"/>
      <w:r w:rsidRPr="00FE76CA">
        <w:rPr>
          <w:sz w:val="20"/>
          <w:szCs w:val="20"/>
        </w:rPr>
        <w:t xml:space="preserve"> </w:t>
      </w:r>
      <w:r w:rsidR="00951DB5" w:rsidRPr="00FE76CA">
        <w:rPr>
          <w:sz w:val="20"/>
          <w:szCs w:val="20"/>
        </w:rPr>
        <w:t>emphasized</w:t>
      </w:r>
      <w:r w:rsidRPr="00FE76CA">
        <w:rPr>
          <w:sz w:val="20"/>
          <w:szCs w:val="20"/>
        </w:rPr>
        <w:t xml:space="preserve"> that the matter is</w:t>
      </w:r>
      <w:r w:rsidR="00082AF8" w:rsidRPr="00FE76CA">
        <w:rPr>
          <w:sz w:val="20"/>
          <w:szCs w:val="20"/>
        </w:rPr>
        <w:t xml:space="preserve"> </w:t>
      </w:r>
      <w:r w:rsidR="00082AF8" w:rsidRPr="00FE76CA">
        <w:rPr>
          <w:b/>
          <w:sz w:val="20"/>
          <w:szCs w:val="20"/>
        </w:rPr>
        <w:t>in the feedback stage</w:t>
      </w:r>
      <w:r w:rsidR="00082AF8" w:rsidRPr="00FE76CA">
        <w:rPr>
          <w:sz w:val="20"/>
          <w:szCs w:val="20"/>
        </w:rPr>
        <w:t xml:space="preserve">. </w:t>
      </w:r>
      <w:r w:rsidR="00951DB5" w:rsidRPr="00FE76CA">
        <w:rPr>
          <w:sz w:val="20"/>
          <w:szCs w:val="20"/>
        </w:rPr>
        <w:t xml:space="preserve">No decisions or recommendations have been made. </w:t>
      </w:r>
      <w:r w:rsidRPr="00FE76CA">
        <w:rPr>
          <w:sz w:val="20"/>
          <w:szCs w:val="20"/>
        </w:rPr>
        <w:t>UCAC’s n</w:t>
      </w:r>
      <w:r w:rsidR="00082AF8" w:rsidRPr="00FE76CA">
        <w:rPr>
          <w:sz w:val="20"/>
          <w:szCs w:val="20"/>
        </w:rPr>
        <w:t>ext meeting is on Tuesday of next week</w:t>
      </w:r>
      <w:r w:rsidRPr="00FE76CA">
        <w:rPr>
          <w:sz w:val="20"/>
          <w:szCs w:val="20"/>
        </w:rPr>
        <w:t xml:space="preserve"> (11/12/19)</w:t>
      </w:r>
      <w:r w:rsidR="00082AF8" w:rsidRPr="00FE76CA">
        <w:rPr>
          <w:sz w:val="20"/>
          <w:szCs w:val="20"/>
        </w:rPr>
        <w:t xml:space="preserve">. </w:t>
      </w:r>
      <w:r w:rsidRPr="00FE76CA">
        <w:rPr>
          <w:sz w:val="20"/>
          <w:szCs w:val="20"/>
        </w:rPr>
        <w:t>Currently a s</w:t>
      </w:r>
      <w:r w:rsidR="00082AF8" w:rsidRPr="00FE76CA">
        <w:rPr>
          <w:sz w:val="20"/>
          <w:szCs w:val="20"/>
        </w:rPr>
        <w:t>mall working group</w:t>
      </w:r>
      <w:r w:rsidRPr="00FE76CA">
        <w:rPr>
          <w:sz w:val="20"/>
          <w:szCs w:val="20"/>
        </w:rPr>
        <w:t xml:space="preserve"> from the larger committee</w:t>
      </w:r>
      <w:r w:rsidR="00082AF8" w:rsidRPr="00FE76CA">
        <w:rPr>
          <w:sz w:val="20"/>
          <w:szCs w:val="20"/>
        </w:rPr>
        <w:t>—</w:t>
      </w:r>
      <w:r w:rsidRPr="00FE76CA">
        <w:rPr>
          <w:sz w:val="20"/>
          <w:szCs w:val="20"/>
        </w:rPr>
        <w:t>consisting of 3 faculty and 3 staff—is in dialog wit</w:t>
      </w:r>
      <w:r w:rsidR="00082AF8" w:rsidRPr="00FE76CA">
        <w:rPr>
          <w:sz w:val="20"/>
          <w:szCs w:val="20"/>
        </w:rPr>
        <w:t>h H</w:t>
      </w:r>
      <w:r w:rsidRPr="00FE76CA">
        <w:rPr>
          <w:sz w:val="20"/>
          <w:szCs w:val="20"/>
        </w:rPr>
        <w:t xml:space="preserve">uman </w:t>
      </w:r>
      <w:r w:rsidR="00082AF8" w:rsidRPr="00FE76CA">
        <w:rPr>
          <w:sz w:val="20"/>
          <w:szCs w:val="20"/>
        </w:rPr>
        <w:t>R</w:t>
      </w:r>
      <w:r w:rsidRPr="00FE76CA">
        <w:rPr>
          <w:sz w:val="20"/>
          <w:szCs w:val="20"/>
        </w:rPr>
        <w:t>esources</w:t>
      </w:r>
      <w:r w:rsidR="00082AF8" w:rsidRPr="00FE76CA">
        <w:rPr>
          <w:sz w:val="20"/>
          <w:szCs w:val="20"/>
        </w:rPr>
        <w:t xml:space="preserve"> to come up with recommendations. </w:t>
      </w:r>
    </w:p>
    <w:p w:rsidR="007A23CB" w:rsidRPr="00FE76CA" w:rsidRDefault="007A23CB" w:rsidP="007A23CB">
      <w:pPr>
        <w:rPr>
          <w:sz w:val="20"/>
          <w:szCs w:val="20"/>
        </w:rPr>
      </w:pPr>
      <w:r w:rsidRPr="00FE76CA">
        <w:rPr>
          <w:sz w:val="20"/>
          <w:szCs w:val="20"/>
        </w:rPr>
        <w:t>Deadline for the recommendation has been postponed to March 31</w:t>
      </w:r>
      <w:r w:rsidRPr="00FE76CA">
        <w:rPr>
          <w:sz w:val="20"/>
          <w:szCs w:val="20"/>
          <w:vertAlign w:val="superscript"/>
        </w:rPr>
        <w:t>st</w:t>
      </w:r>
      <w:r w:rsidRPr="00FE76CA">
        <w:rPr>
          <w:sz w:val="20"/>
          <w:szCs w:val="20"/>
          <w:vertAlign w:val="superscript"/>
        </w:rPr>
        <w:t xml:space="preserve"> </w:t>
      </w:r>
      <w:r w:rsidRPr="00FE76CA">
        <w:rPr>
          <w:sz w:val="20"/>
          <w:szCs w:val="20"/>
        </w:rPr>
        <w:t>of 2020</w:t>
      </w:r>
      <w:r w:rsidRPr="00FE76CA">
        <w:rPr>
          <w:sz w:val="20"/>
          <w:szCs w:val="20"/>
        </w:rPr>
        <w:t xml:space="preserve"> (from November 19</w:t>
      </w:r>
      <w:r w:rsidRPr="00FE76CA">
        <w:rPr>
          <w:sz w:val="20"/>
          <w:szCs w:val="20"/>
          <w:vertAlign w:val="superscript"/>
        </w:rPr>
        <w:t>th</w:t>
      </w:r>
      <w:r w:rsidRPr="00FE76CA">
        <w:rPr>
          <w:sz w:val="20"/>
          <w:szCs w:val="20"/>
        </w:rPr>
        <w:t xml:space="preserve">). </w:t>
      </w:r>
      <w:r w:rsidRPr="00FE76CA">
        <w:rPr>
          <w:sz w:val="20"/>
          <w:szCs w:val="20"/>
        </w:rPr>
        <w:t>This is s</w:t>
      </w:r>
      <w:r w:rsidRPr="00FE76CA">
        <w:rPr>
          <w:sz w:val="20"/>
          <w:szCs w:val="20"/>
        </w:rPr>
        <w:t xml:space="preserve">till soon, but an improvement in timeline. </w:t>
      </w:r>
      <w:r w:rsidRPr="00FE76CA">
        <w:rPr>
          <w:sz w:val="20"/>
          <w:szCs w:val="20"/>
        </w:rPr>
        <w:t>UCAC co-chairs will make m</w:t>
      </w:r>
      <w:r w:rsidRPr="00FE76CA">
        <w:rPr>
          <w:sz w:val="20"/>
          <w:szCs w:val="20"/>
        </w:rPr>
        <w:t xml:space="preserve">erit pay recommendations </w:t>
      </w:r>
      <w:r w:rsidRPr="00FE76CA">
        <w:rPr>
          <w:sz w:val="20"/>
          <w:szCs w:val="20"/>
        </w:rPr>
        <w:t xml:space="preserve">to the Chancellor’s Cabinet </w:t>
      </w:r>
      <w:r w:rsidRPr="00FE76CA">
        <w:rPr>
          <w:sz w:val="20"/>
          <w:szCs w:val="20"/>
        </w:rPr>
        <w:t xml:space="preserve">on 11/19, but </w:t>
      </w:r>
      <w:r w:rsidRPr="00FE76CA">
        <w:rPr>
          <w:sz w:val="20"/>
          <w:szCs w:val="20"/>
        </w:rPr>
        <w:t>the benefits recommendation</w:t>
      </w:r>
      <w:r w:rsidRPr="00FE76CA">
        <w:rPr>
          <w:sz w:val="20"/>
          <w:szCs w:val="20"/>
        </w:rPr>
        <w:t xml:space="preserve"> will be presented in late March.</w:t>
      </w:r>
    </w:p>
    <w:p w:rsidR="008D3675" w:rsidRPr="00FE76CA" w:rsidRDefault="008D3675">
      <w:pPr>
        <w:rPr>
          <w:sz w:val="20"/>
          <w:szCs w:val="20"/>
        </w:rPr>
      </w:pPr>
      <w:r w:rsidRPr="00FE76CA">
        <w:rPr>
          <w:b/>
          <w:sz w:val="20"/>
          <w:szCs w:val="20"/>
        </w:rPr>
        <w:t xml:space="preserve">What UCAC has been </w:t>
      </w:r>
      <w:proofErr w:type="gramStart"/>
      <w:r w:rsidRPr="00FE76CA">
        <w:rPr>
          <w:b/>
          <w:sz w:val="20"/>
          <w:szCs w:val="20"/>
        </w:rPr>
        <w:t>told</w:t>
      </w:r>
      <w:r w:rsidRPr="00FE76CA">
        <w:rPr>
          <w:sz w:val="20"/>
          <w:szCs w:val="20"/>
        </w:rPr>
        <w:t>:</w:t>
      </w:r>
      <w:proofErr w:type="gramEnd"/>
    </w:p>
    <w:p w:rsidR="00000000" w:rsidRPr="00FE76CA" w:rsidRDefault="00FE76CA" w:rsidP="007A23CB">
      <w:pPr>
        <w:numPr>
          <w:ilvl w:val="0"/>
          <w:numId w:val="1"/>
        </w:numPr>
        <w:spacing w:after="0" w:line="240" w:lineRule="auto"/>
        <w:rPr>
          <w:sz w:val="20"/>
          <w:szCs w:val="20"/>
        </w:rPr>
      </w:pPr>
      <w:r w:rsidRPr="00FE76CA">
        <w:rPr>
          <w:sz w:val="20"/>
          <w:szCs w:val="20"/>
        </w:rPr>
        <w:t>Population of traditional college-age in the US is declining</w:t>
      </w:r>
    </w:p>
    <w:p w:rsidR="00000000" w:rsidRPr="00FE76CA" w:rsidRDefault="00FE76CA" w:rsidP="007A23CB">
      <w:pPr>
        <w:numPr>
          <w:ilvl w:val="1"/>
          <w:numId w:val="1"/>
        </w:numPr>
        <w:spacing w:after="0" w:line="240" w:lineRule="auto"/>
        <w:rPr>
          <w:sz w:val="20"/>
          <w:szCs w:val="20"/>
        </w:rPr>
      </w:pPr>
      <w:r w:rsidRPr="00FE76CA">
        <w:rPr>
          <w:sz w:val="20"/>
          <w:szCs w:val="20"/>
        </w:rPr>
        <w:t>Number of foreign students studying in US is also declining</w:t>
      </w:r>
    </w:p>
    <w:p w:rsidR="00000000" w:rsidRPr="00FE76CA" w:rsidRDefault="00FE76CA" w:rsidP="007A23CB">
      <w:pPr>
        <w:numPr>
          <w:ilvl w:val="1"/>
          <w:numId w:val="1"/>
        </w:numPr>
        <w:spacing w:after="0" w:line="240" w:lineRule="auto"/>
        <w:rPr>
          <w:sz w:val="20"/>
          <w:szCs w:val="20"/>
        </w:rPr>
      </w:pPr>
      <w:r w:rsidRPr="00FE76CA">
        <w:rPr>
          <w:sz w:val="20"/>
          <w:szCs w:val="20"/>
        </w:rPr>
        <w:t>Will TCU be able to maintain current number and quality of students in an increasingly competitive environment?</w:t>
      </w:r>
    </w:p>
    <w:p w:rsidR="00000000" w:rsidRPr="00FE76CA" w:rsidRDefault="00FE76CA" w:rsidP="007A23CB">
      <w:pPr>
        <w:numPr>
          <w:ilvl w:val="0"/>
          <w:numId w:val="1"/>
        </w:numPr>
        <w:spacing w:after="0" w:line="240" w:lineRule="auto"/>
        <w:rPr>
          <w:sz w:val="20"/>
          <w:szCs w:val="20"/>
        </w:rPr>
      </w:pPr>
      <w:r w:rsidRPr="00FE76CA">
        <w:rPr>
          <w:sz w:val="20"/>
          <w:szCs w:val="20"/>
        </w:rPr>
        <w:t>Future annual tuition increases will be much</w:t>
      </w:r>
      <w:r w:rsidRPr="00FE76CA">
        <w:rPr>
          <w:sz w:val="20"/>
          <w:szCs w:val="20"/>
        </w:rPr>
        <w:t xml:space="preserve"> smaller</w:t>
      </w:r>
    </w:p>
    <w:p w:rsidR="00000000" w:rsidRPr="00FE76CA" w:rsidRDefault="00FE76CA" w:rsidP="007A23CB">
      <w:pPr>
        <w:numPr>
          <w:ilvl w:val="0"/>
          <w:numId w:val="1"/>
        </w:numPr>
        <w:spacing w:after="0" w:line="240" w:lineRule="auto"/>
        <w:rPr>
          <w:sz w:val="20"/>
          <w:szCs w:val="20"/>
        </w:rPr>
      </w:pPr>
      <w:r w:rsidRPr="00FE76CA">
        <w:rPr>
          <w:sz w:val="20"/>
          <w:szCs w:val="20"/>
        </w:rPr>
        <w:t>Political pressure on higher education to lower costs, driven by high student loan debt</w:t>
      </w:r>
    </w:p>
    <w:p w:rsidR="00000000" w:rsidRPr="00FE76CA" w:rsidRDefault="00FE76CA" w:rsidP="007A23CB">
      <w:pPr>
        <w:numPr>
          <w:ilvl w:val="0"/>
          <w:numId w:val="1"/>
        </w:numPr>
        <w:spacing w:after="0" w:line="240" w:lineRule="auto"/>
        <w:rPr>
          <w:sz w:val="20"/>
          <w:szCs w:val="20"/>
        </w:rPr>
      </w:pPr>
      <w:r w:rsidRPr="00FE76CA">
        <w:rPr>
          <w:sz w:val="20"/>
          <w:szCs w:val="20"/>
        </w:rPr>
        <w:t xml:space="preserve">TCU’s current benefits are </w:t>
      </w:r>
      <w:r w:rsidRPr="00FE76CA">
        <w:rPr>
          <w:sz w:val="20"/>
          <w:szCs w:val="20"/>
        </w:rPr>
        <w:t>unsustainable</w:t>
      </w:r>
    </w:p>
    <w:p w:rsidR="00000000" w:rsidRPr="00FE76CA" w:rsidRDefault="00FE76CA" w:rsidP="007A23CB">
      <w:pPr>
        <w:numPr>
          <w:ilvl w:val="1"/>
          <w:numId w:val="1"/>
        </w:numPr>
        <w:spacing w:after="0" w:line="240" w:lineRule="auto"/>
        <w:rPr>
          <w:sz w:val="20"/>
          <w:szCs w:val="20"/>
        </w:rPr>
      </w:pPr>
      <w:r w:rsidRPr="00FE76CA">
        <w:rPr>
          <w:sz w:val="20"/>
          <w:szCs w:val="20"/>
        </w:rPr>
        <w:t>Restructuring retirement benefits seems to be the primary target</w:t>
      </w:r>
    </w:p>
    <w:p w:rsidR="00000000" w:rsidRPr="00FE76CA" w:rsidRDefault="00FE76CA" w:rsidP="007A23CB">
      <w:pPr>
        <w:numPr>
          <w:ilvl w:val="0"/>
          <w:numId w:val="1"/>
        </w:numPr>
        <w:spacing w:after="0" w:line="240" w:lineRule="auto"/>
        <w:rPr>
          <w:sz w:val="20"/>
          <w:szCs w:val="20"/>
        </w:rPr>
      </w:pPr>
      <w:r w:rsidRPr="00FE76CA">
        <w:rPr>
          <w:sz w:val="20"/>
          <w:szCs w:val="20"/>
        </w:rPr>
        <w:t>Any change in benefits will not affect curren</w:t>
      </w:r>
      <w:r w:rsidRPr="00FE76CA">
        <w:rPr>
          <w:sz w:val="20"/>
          <w:szCs w:val="20"/>
        </w:rPr>
        <w:t>t employees</w:t>
      </w:r>
    </w:p>
    <w:p w:rsidR="007A23CB" w:rsidRPr="00FE76CA" w:rsidRDefault="007A23CB" w:rsidP="007A23CB">
      <w:pPr>
        <w:spacing w:after="0" w:line="240" w:lineRule="auto"/>
        <w:ind w:left="720"/>
        <w:rPr>
          <w:sz w:val="20"/>
          <w:szCs w:val="20"/>
        </w:rPr>
      </w:pPr>
    </w:p>
    <w:p w:rsidR="00082AF8" w:rsidRPr="00FE76CA" w:rsidRDefault="00082AF8">
      <w:pPr>
        <w:rPr>
          <w:rFonts w:cstheme="minorHAnsi"/>
          <w:b/>
          <w:sz w:val="20"/>
          <w:szCs w:val="20"/>
        </w:rPr>
      </w:pPr>
      <w:r w:rsidRPr="00FE76CA">
        <w:rPr>
          <w:b/>
          <w:sz w:val="20"/>
          <w:szCs w:val="20"/>
        </w:rPr>
        <w:t>What h</w:t>
      </w:r>
      <w:r w:rsidRPr="00FE76CA">
        <w:rPr>
          <w:rFonts w:cstheme="minorHAnsi"/>
          <w:b/>
          <w:sz w:val="20"/>
          <w:szCs w:val="20"/>
        </w:rPr>
        <w:t xml:space="preserve">ave </w:t>
      </w:r>
      <w:r w:rsidR="007A23CB" w:rsidRPr="00FE76CA">
        <w:rPr>
          <w:rFonts w:cstheme="minorHAnsi"/>
          <w:b/>
          <w:sz w:val="20"/>
          <w:szCs w:val="20"/>
        </w:rPr>
        <w:t>they</w:t>
      </w:r>
      <w:r w:rsidRPr="00FE76CA">
        <w:rPr>
          <w:rFonts w:cstheme="minorHAnsi"/>
          <w:b/>
          <w:sz w:val="20"/>
          <w:szCs w:val="20"/>
        </w:rPr>
        <w:t xml:space="preserve"> learned?</w:t>
      </w:r>
    </w:p>
    <w:p w:rsidR="007A23CB" w:rsidRPr="00FE76CA" w:rsidRDefault="007A23CB"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 xml:space="preserve">TCU Benefits are only part of the total </w:t>
      </w:r>
      <w:r w:rsidR="00082AF8" w:rsidRPr="00FE76CA">
        <w:rPr>
          <w:rFonts w:asciiTheme="minorHAnsi" w:hAnsiTheme="minorHAnsi" w:cstheme="minorHAnsi"/>
          <w:sz w:val="20"/>
          <w:szCs w:val="20"/>
        </w:rPr>
        <w:t xml:space="preserve">compensation </w:t>
      </w:r>
      <w:r w:rsidRPr="00FE76CA">
        <w:rPr>
          <w:rFonts w:asciiTheme="minorHAnsi" w:hAnsiTheme="minorHAnsi" w:cstheme="minorHAnsi"/>
          <w:sz w:val="20"/>
          <w:szCs w:val="20"/>
        </w:rPr>
        <w:t>package.</w:t>
      </w:r>
    </w:p>
    <w:p w:rsidR="007A23CB" w:rsidRPr="00FE76CA" w:rsidRDefault="007A23CB"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Total compensation as a percentage of the total operating budget is growing at a very small rate.</w:t>
      </w:r>
    </w:p>
    <w:p w:rsidR="007A23CB" w:rsidRPr="00FE76CA" w:rsidRDefault="007A23CB"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The cost of retirement benefits are increasing and projected to continue increasing, with an aging workforce.</w:t>
      </w:r>
    </w:p>
    <w:p w:rsidR="007A23CB" w:rsidRPr="00FE76CA" w:rsidRDefault="007A23CB"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However, r</w:t>
      </w:r>
      <w:r w:rsidRPr="00FE76CA">
        <w:rPr>
          <w:rFonts w:asciiTheme="minorHAnsi" w:hAnsiTheme="minorHAnsi" w:cstheme="minorHAnsi"/>
          <w:sz w:val="20"/>
          <w:szCs w:val="20"/>
        </w:rPr>
        <w:t>etirement costs (</w:t>
      </w:r>
      <w:r w:rsidRPr="00FE76CA">
        <w:rPr>
          <w:rFonts w:asciiTheme="minorHAnsi" w:hAnsiTheme="minorHAnsi" w:cstheme="minorHAnsi"/>
          <w:sz w:val="20"/>
          <w:szCs w:val="20"/>
        </w:rPr>
        <w:t xml:space="preserve">the </w:t>
      </w:r>
      <w:r w:rsidRPr="00FE76CA">
        <w:rPr>
          <w:rFonts w:asciiTheme="minorHAnsi" w:hAnsiTheme="minorHAnsi" w:cstheme="minorHAnsi"/>
          <w:sz w:val="20"/>
          <w:szCs w:val="20"/>
        </w:rPr>
        <w:t xml:space="preserve">big target) are decreasing as a </w:t>
      </w:r>
      <w:r w:rsidRPr="00FE76CA">
        <w:rPr>
          <w:rFonts w:asciiTheme="minorHAnsi" w:hAnsiTheme="minorHAnsi" w:cstheme="minorHAnsi"/>
          <w:sz w:val="20"/>
          <w:szCs w:val="20"/>
        </w:rPr>
        <w:t>percentage</w:t>
      </w:r>
      <w:r w:rsidRPr="00FE76CA">
        <w:rPr>
          <w:rFonts w:asciiTheme="minorHAnsi" w:hAnsiTheme="minorHAnsi" w:cstheme="minorHAnsi"/>
          <w:sz w:val="20"/>
          <w:szCs w:val="20"/>
        </w:rPr>
        <w:t xml:space="preserve"> of the </w:t>
      </w:r>
      <w:r w:rsidRPr="00FE76CA">
        <w:rPr>
          <w:rFonts w:asciiTheme="minorHAnsi" w:hAnsiTheme="minorHAnsi" w:cstheme="minorHAnsi"/>
          <w:sz w:val="20"/>
          <w:szCs w:val="20"/>
        </w:rPr>
        <w:t xml:space="preserve">university’s </w:t>
      </w:r>
      <w:r w:rsidRPr="00FE76CA">
        <w:rPr>
          <w:rFonts w:asciiTheme="minorHAnsi" w:hAnsiTheme="minorHAnsi" w:cstheme="minorHAnsi"/>
          <w:sz w:val="20"/>
          <w:szCs w:val="20"/>
        </w:rPr>
        <w:t xml:space="preserve">total </w:t>
      </w:r>
      <w:r w:rsidRPr="00FE76CA">
        <w:rPr>
          <w:rFonts w:asciiTheme="minorHAnsi" w:hAnsiTheme="minorHAnsi" w:cstheme="minorHAnsi"/>
          <w:sz w:val="20"/>
          <w:szCs w:val="20"/>
        </w:rPr>
        <w:t xml:space="preserve">operating </w:t>
      </w:r>
      <w:r w:rsidRPr="00FE76CA">
        <w:rPr>
          <w:rFonts w:asciiTheme="minorHAnsi" w:hAnsiTheme="minorHAnsi" w:cstheme="minorHAnsi"/>
          <w:sz w:val="20"/>
          <w:szCs w:val="20"/>
        </w:rPr>
        <w:t>budget.</w:t>
      </w:r>
    </w:p>
    <w:p w:rsidR="007A23CB" w:rsidRPr="00FE76CA" w:rsidRDefault="00082AF8"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 xml:space="preserve">TCU spends </w:t>
      </w:r>
      <w:r w:rsidR="007A23CB" w:rsidRPr="00FE76CA">
        <w:rPr>
          <w:rFonts w:asciiTheme="minorHAnsi" w:hAnsiTheme="minorHAnsi" w:cstheme="minorHAnsi"/>
          <w:sz w:val="20"/>
          <w:szCs w:val="20"/>
        </w:rPr>
        <w:t xml:space="preserve">a </w:t>
      </w:r>
      <w:r w:rsidRPr="00FE76CA">
        <w:rPr>
          <w:rFonts w:asciiTheme="minorHAnsi" w:hAnsiTheme="minorHAnsi" w:cstheme="minorHAnsi"/>
          <w:sz w:val="20"/>
          <w:szCs w:val="20"/>
        </w:rPr>
        <w:t>lower percentage (</w:t>
      </w:r>
      <w:r w:rsidR="007A23CB" w:rsidRPr="00FE76CA">
        <w:rPr>
          <w:rFonts w:asciiTheme="minorHAnsi" w:hAnsiTheme="minorHAnsi" w:cstheme="minorHAnsi"/>
          <w:sz w:val="20"/>
          <w:szCs w:val="20"/>
        </w:rPr>
        <w:t xml:space="preserve">of its </w:t>
      </w:r>
      <w:r w:rsidRPr="00FE76CA">
        <w:rPr>
          <w:rFonts w:asciiTheme="minorHAnsi" w:hAnsiTheme="minorHAnsi" w:cstheme="minorHAnsi"/>
          <w:sz w:val="20"/>
          <w:szCs w:val="20"/>
        </w:rPr>
        <w:t xml:space="preserve">overall budget) on compensation than every other one of our </w:t>
      </w:r>
      <w:r w:rsidR="007A23CB" w:rsidRPr="00FE76CA">
        <w:rPr>
          <w:rFonts w:asciiTheme="minorHAnsi" w:hAnsiTheme="minorHAnsi" w:cstheme="minorHAnsi"/>
          <w:sz w:val="20"/>
          <w:szCs w:val="20"/>
        </w:rPr>
        <w:t xml:space="preserve">self-defined </w:t>
      </w:r>
      <w:r w:rsidRPr="00FE76CA">
        <w:rPr>
          <w:rFonts w:asciiTheme="minorHAnsi" w:hAnsiTheme="minorHAnsi" w:cstheme="minorHAnsi"/>
          <w:sz w:val="20"/>
          <w:szCs w:val="20"/>
        </w:rPr>
        <w:t xml:space="preserve">peer and aspirant institutions. </w:t>
      </w:r>
    </w:p>
    <w:p w:rsidR="00082AF8" w:rsidRPr="00FE76CA" w:rsidRDefault="007A23CB" w:rsidP="007A23CB">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 xml:space="preserve">TCU </w:t>
      </w:r>
      <w:r w:rsidR="00082AF8" w:rsidRPr="00FE76CA">
        <w:rPr>
          <w:rFonts w:asciiTheme="minorHAnsi" w:hAnsiTheme="minorHAnsi" w:cstheme="minorHAnsi"/>
          <w:sz w:val="20"/>
          <w:szCs w:val="20"/>
        </w:rPr>
        <w:t>spend</w:t>
      </w:r>
      <w:r w:rsidRPr="00FE76CA">
        <w:rPr>
          <w:rFonts w:asciiTheme="minorHAnsi" w:hAnsiTheme="minorHAnsi" w:cstheme="minorHAnsi"/>
          <w:sz w:val="20"/>
          <w:szCs w:val="20"/>
        </w:rPr>
        <w:t>s</w:t>
      </w:r>
      <w:r w:rsidR="00082AF8" w:rsidRPr="00FE76CA">
        <w:rPr>
          <w:rFonts w:asciiTheme="minorHAnsi" w:hAnsiTheme="minorHAnsi" w:cstheme="minorHAnsi"/>
          <w:sz w:val="20"/>
          <w:szCs w:val="20"/>
        </w:rPr>
        <w:t xml:space="preserve"> a higher percentage</w:t>
      </w:r>
      <w:r w:rsidRPr="00FE76CA">
        <w:rPr>
          <w:rFonts w:asciiTheme="minorHAnsi" w:hAnsiTheme="minorHAnsi" w:cstheme="minorHAnsi"/>
          <w:sz w:val="20"/>
          <w:szCs w:val="20"/>
        </w:rPr>
        <w:t xml:space="preserve"> of total compensation on top officers (an IRS defined status)</w:t>
      </w:r>
      <w:r w:rsidR="00082AF8" w:rsidRPr="00FE76CA">
        <w:rPr>
          <w:rFonts w:asciiTheme="minorHAnsi" w:hAnsiTheme="minorHAnsi" w:cstheme="minorHAnsi"/>
          <w:sz w:val="20"/>
          <w:szCs w:val="20"/>
        </w:rPr>
        <w:t xml:space="preserve"> than </w:t>
      </w:r>
      <w:r w:rsidRPr="00FE76CA">
        <w:rPr>
          <w:rFonts w:asciiTheme="minorHAnsi" w:hAnsiTheme="minorHAnsi" w:cstheme="minorHAnsi"/>
          <w:sz w:val="20"/>
          <w:szCs w:val="20"/>
        </w:rPr>
        <w:t>all of</w:t>
      </w:r>
      <w:r w:rsidR="00082AF8" w:rsidRPr="00FE76CA">
        <w:rPr>
          <w:rFonts w:asciiTheme="minorHAnsi" w:hAnsiTheme="minorHAnsi" w:cstheme="minorHAnsi"/>
          <w:sz w:val="20"/>
          <w:szCs w:val="20"/>
        </w:rPr>
        <w:t xml:space="preserve"> our peer and aspirant universities. (</w:t>
      </w:r>
      <w:proofErr w:type="gramStart"/>
      <w:r w:rsidRPr="00FE76CA">
        <w:rPr>
          <w:rFonts w:asciiTheme="minorHAnsi" w:hAnsiTheme="minorHAnsi" w:cstheme="minorHAnsi"/>
          <w:sz w:val="20"/>
          <w:szCs w:val="20"/>
        </w:rPr>
        <w:t>based</w:t>
      </w:r>
      <w:proofErr w:type="gramEnd"/>
      <w:r w:rsidRPr="00FE76CA">
        <w:rPr>
          <w:rFonts w:asciiTheme="minorHAnsi" w:hAnsiTheme="minorHAnsi" w:cstheme="minorHAnsi"/>
          <w:sz w:val="20"/>
          <w:szCs w:val="20"/>
        </w:rPr>
        <w:t xml:space="preserve"> on </w:t>
      </w:r>
      <w:r w:rsidR="00082AF8" w:rsidRPr="00FE76CA">
        <w:rPr>
          <w:rFonts w:asciiTheme="minorHAnsi" w:hAnsiTheme="minorHAnsi" w:cstheme="minorHAnsi"/>
          <w:sz w:val="20"/>
          <w:szCs w:val="20"/>
        </w:rPr>
        <w:t>IRS 990 data).</w:t>
      </w:r>
    </w:p>
    <w:p w:rsidR="00951DB5" w:rsidRPr="00FE76CA" w:rsidRDefault="007A23CB" w:rsidP="000A332A">
      <w:pPr>
        <w:pStyle w:val="ListParagraph"/>
        <w:numPr>
          <w:ilvl w:val="0"/>
          <w:numId w:val="2"/>
        </w:numPr>
        <w:rPr>
          <w:rFonts w:asciiTheme="minorHAnsi" w:hAnsiTheme="minorHAnsi" w:cstheme="minorHAnsi"/>
          <w:sz w:val="20"/>
          <w:szCs w:val="20"/>
        </w:rPr>
      </w:pPr>
      <w:r w:rsidRPr="00FE76CA">
        <w:rPr>
          <w:rFonts w:asciiTheme="minorHAnsi" w:hAnsiTheme="minorHAnsi" w:cstheme="minorHAnsi"/>
          <w:sz w:val="20"/>
          <w:szCs w:val="20"/>
        </w:rPr>
        <w:t>Based on r</w:t>
      </w:r>
      <w:r w:rsidR="00082AF8" w:rsidRPr="00FE76CA">
        <w:rPr>
          <w:rFonts w:asciiTheme="minorHAnsi" w:hAnsiTheme="minorHAnsi" w:cstheme="minorHAnsi"/>
          <w:sz w:val="20"/>
          <w:szCs w:val="20"/>
        </w:rPr>
        <w:t xml:space="preserve">anking data (from US News &amp; World Report): </w:t>
      </w:r>
      <w:r w:rsidRPr="00FE76CA">
        <w:rPr>
          <w:rFonts w:asciiTheme="minorHAnsi" w:hAnsiTheme="minorHAnsi" w:cstheme="minorHAnsi"/>
          <w:sz w:val="20"/>
          <w:szCs w:val="20"/>
        </w:rPr>
        <w:t xml:space="preserve">TCU’s academic spending is lower </w:t>
      </w:r>
      <w:r w:rsidR="00082AF8" w:rsidRPr="00FE76CA">
        <w:rPr>
          <w:rFonts w:asciiTheme="minorHAnsi" w:hAnsiTheme="minorHAnsi" w:cstheme="minorHAnsi"/>
          <w:sz w:val="20"/>
          <w:szCs w:val="20"/>
        </w:rPr>
        <w:t xml:space="preserve">on students per capita than </w:t>
      </w:r>
      <w:r w:rsidRPr="00FE76CA">
        <w:rPr>
          <w:rFonts w:asciiTheme="minorHAnsi" w:hAnsiTheme="minorHAnsi" w:cstheme="minorHAnsi"/>
          <w:sz w:val="20"/>
          <w:szCs w:val="20"/>
        </w:rPr>
        <w:t>all</w:t>
      </w:r>
      <w:r w:rsidR="00082AF8" w:rsidRPr="00FE76CA">
        <w:rPr>
          <w:rFonts w:asciiTheme="minorHAnsi" w:hAnsiTheme="minorHAnsi" w:cstheme="minorHAnsi"/>
          <w:sz w:val="20"/>
          <w:szCs w:val="20"/>
        </w:rPr>
        <w:t xml:space="preserve"> our peer and aspirant universities. </w:t>
      </w:r>
    </w:p>
    <w:p w:rsidR="00140082" w:rsidRPr="00FE76CA" w:rsidRDefault="00140082" w:rsidP="000A332A">
      <w:pPr>
        <w:pStyle w:val="ListParagraph"/>
        <w:numPr>
          <w:ilvl w:val="0"/>
          <w:numId w:val="2"/>
        </w:numPr>
        <w:rPr>
          <w:sz w:val="20"/>
          <w:szCs w:val="20"/>
        </w:rPr>
      </w:pPr>
      <w:r w:rsidRPr="00FE76CA">
        <w:rPr>
          <w:rFonts w:asciiTheme="minorHAnsi" w:hAnsiTheme="minorHAnsi" w:cstheme="minorHAnsi"/>
          <w:b/>
          <w:sz w:val="20"/>
          <w:szCs w:val="20"/>
        </w:rPr>
        <w:t>It’s a question of priorities.</w:t>
      </w:r>
      <w:r w:rsidRPr="00FE76CA">
        <w:rPr>
          <w:rFonts w:asciiTheme="minorHAnsi" w:hAnsiTheme="minorHAnsi" w:cstheme="minorHAnsi"/>
          <w:sz w:val="20"/>
          <w:szCs w:val="20"/>
        </w:rPr>
        <w:t xml:space="preserve"> And the priorities don’t seem to align with what we profess to value.</w:t>
      </w:r>
    </w:p>
    <w:p w:rsidR="00951DB5" w:rsidRPr="00FE76CA" w:rsidRDefault="00951DB5" w:rsidP="00951DB5">
      <w:pPr>
        <w:pStyle w:val="ListParagraph"/>
        <w:rPr>
          <w:sz w:val="20"/>
          <w:szCs w:val="20"/>
        </w:rPr>
      </w:pPr>
    </w:p>
    <w:p w:rsidR="00140082" w:rsidRPr="00FE76CA" w:rsidRDefault="00951DB5">
      <w:pPr>
        <w:rPr>
          <w:sz w:val="20"/>
          <w:szCs w:val="20"/>
        </w:rPr>
      </w:pPr>
      <w:r w:rsidRPr="00FE76CA">
        <w:rPr>
          <w:b/>
          <w:sz w:val="20"/>
          <w:szCs w:val="20"/>
        </w:rPr>
        <w:t>Benefits most important</w:t>
      </w:r>
      <w:r w:rsidRPr="00FE76CA">
        <w:rPr>
          <w:sz w:val="20"/>
          <w:szCs w:val="20"/>
        </w:rPr>
        <w:t xml:space="preserve"> to current TCU employees: </w:t>
      </w:r>
      <w:r w:rsidR="00140082" w:rsidRPr="00FE76CA">
        <w:rPr>
          <w:sz w:val="20"/>
          <w:szCs w:val="20"/>
        </w:rPr>
        <w:t>Health insurance, retirement benefits, and tuition benefits</w:t>
      </w:r>
      <w:r w:rsidRPr="00FE76CA">
        <w:rPr>
          <w:sz w:val="20"/>
          <w:szCs w:val="20"/>
        </w:rPr>
        <w:t xml:space="preserve">. Benefits most important to future employees (Millennials and Gen Z): </w:t>
      </w:r>
      <w:r w:rsidR="00140082" w:rsidRPr="00FE76CA">
        <w:rPr>
          <w:sz w:val="20"/>
          <w:szCs w:val="20"/>
        </w:rPr>
        <w:t>short term disability</w:t>
      </w:r>
      <w:r w:rsidRPr="00FE76CA">
        <w:rPr>
          <w:sz w:val="20"/>
          <w:szCs w:val="20"/>
        </w:rPr>
        <w:t xml:space="preserve"> (maternity and paternity leave, for ex.)</w:t>
      </w:r>
      <w:r w:rsidR="00140082" w:rsidRPr="00FE76CA">
        <w:rPr>
          <w:sz w:val="20"/>
          <w:szCs w:val="20"/>
        </w:rPr>
        <w:t xml:space="preserve">, health insurance, </w:t>
      </w:r>
      <w:r w:rsidR="00B8191C" w:rsidRPr="00FE76CA">
        <w:rPr>
          <w:sz w:val="20"/>
          <w:szCs w:val="20"/>
        </w:rPr>
        <w:t>tuition benefits, childcare, student loan repayment assistance, and flexible remote working schedules.</w:t>
      </w:r>
    </w:p>
    <w:p w:rsidR="00B8191C" w:rsidRPr="00FE76CA" w:rsidRDefault="00B8191C">
      <w:pPr>
        <w:rPr>
          <w:sz w:val="20"/>
          <w:szCs w:val="20"/>
        </w:rPr>
      </w:pPr>
      <w:r w:rsidRPr="00FE76CA">
        <w:rPr>
          <w:b/>
          <w:sz w:val="20"/>
          <w:szCs w:val="20"/>
        </w:rPr>
        <w:t xml:space="preserve">What do we need to </w:t>
      </w:r>
      <w:r w:rsidR="00951DB5" w:rsidRPr="00FE76CA">
        <w:rPr>
          <w:b/>
          <w:sz w:val="20"/>
          <w:szCs w:val="20"/>
        </w:rPr>
        <w:t>learn</w:t>
      </w:r>
      <w:r w:rsidRPr="00FE76CA">
        <w:rPr>
          <w:b/>
          <w:sz w:val="20"/>
          <w:szCs w:val="20"/>
        </w:rPr>
        <w:t xml:space="preserve">?  </w:t>
      </w:r>
      <w:r w:rsidRPr="00FE76CA">
        <w:rPr>
          <w:sz w:val="20"/>
          <w:szCs w:val="20"/>
        </w:rPr>
        <w:t xml:space="preserve">Definition of </w:t>
      </w:r>
      <w:r w:rsidR="00951DB5" w:rsidRPr="00FE76CA">
        <w:rPr>
          <w:sz w:val="20"/>
          <w:szCs w:val="20"/>
        </w:rPr>
        <w:t xml:space="preserve">key </w:t>
      </w:r>
      <w:r w:rsidRPr="00FE76CA">
        <w:rPr>
          <w:sz w:val="20"/>
          <w:szCs w:val="20"/>
        </w:rPr>
        <w:t xml:space="preserve">terms. What does “fiscally sustainable” mean to the board? What is the target </w:t>
      </w:r>
      <w:r w:rsidR="00951DB5" w:rsidRPr="00FE76CA">
        <w:rPr>
          <w:sz w:val="20"/>
          <w:szCs w:val="20"/>
        </w:rPr>
        <w:t>number for the cost of TCU benefits—as a percentage of compensation? Per capita costs across all employees or within ranges</w:t>
      </w:r>
      <w:r w:rsidRPr="00FE76CA">
        <w:rPr>
          <w:sz w:val="20"/>
          <w:szCs w:val="20"/>
        </w:rPr>
        <w:t xml:space="preserve">? </w:t>
      </w:r>
      <w:r w:rsidR="004F1327" w:rsidRPr="00FE76CA">
        <w:rPr>
          <w:sz w:val="20"/>
          <w:szCs w:val="20"/>
        </w:rPr>
        <w:t>UCAC</w:t>
      </w:r>
      <w:r w:rsidRPr="00FE76CA">
        <w:rPr>
          <w:sz w:val="20"/>
          <w:szCs w:val="20"/>
        </w:rPr>
        <w:t xml:space="preserve"> ha</w:t>
      </w:r>
      <w:r w:rsidR="00951DB5" w:rsidRPr="00FE76CA">
        <w:rPr>
          <w:sz w:val="20"/>
          <w:szCs w:val="20"/>
        </w:rPr>
        <w:t>s</w:t>
      </w:r>
      <w:r w:rsidRPr="00FE76CA">
        <w:rPr>
          <w:sz w:val="20"/>
          <w:szCs w:val="20"/>
        </w:rPr>
        <w:t xml:space="preserve"> not been told. </w:t>
      </w:r>
      <w:r w:rsidR="00951DB5" w:rsidRPr="00FE76CA">
        <w:rPr>
          <w:sz w:val="20"/>
          <w:szCs w:val="20"/>
        </w:rPr>
        <w:t>It’s h</w:t>
      </w:r>
      <w:r w:rsidRPr="00FE76CA">
        <w:rPr>
          <w:sz w:val="20"/>
          <w:szCs w:val="20"/>
        </w:rPr>
        <w:t>ard for HR to project costs if we don’t know what’s in the package. What is competitive? How important are benefits in recruiting and retaining the best talent? What is sacrosanct here about TCU’s culture? Anything we do will affect the culture.</w:t>
      </w:r>
    </w:p>
    <w:p w:rsidR="004F1327" w:rsidRPr="00FE76CA" w:rsidRDefault="00951DB5">
      <w:pPr>
        <w:rPr>
          <w:sz w:val="20"/>
          <w:szCs w:val="20"/>
        </w:rPr>
      </w:pPr>
      <w:r w:rsidRPr="00FE76CA">
        <w:rPr>
          <w:sz w:val="20"/>
          <w:szCs w:val="20"/>
        </w:rPr>
        <w:t xml:space="preserve">Senators responded with observations and questions: </w:t>
      </w:r>
      <w:r w:rsidR="00B8191C" w:rsidRPr="00FE76CA">
        <w:rPr>
          <w:sz w:val="20"/>
          <w:szCs w:val="20"/>
        </w:rPr>
        <w:t>If we are 95% tuition</w:t>
      </w:r>
      <w:r w:rsidRPr="00FE76CA">
        <w:rPr>
          <w:sz w:val="20"/>
          <w:szCs w:val="20"/>
        </w:rPr>
        <w:t>-</w:t>
      </w:r>
      <w:r w:rsidR="00B8191C" w:rsidRPr="00FE76CA">
        <w:rPr>
          <w:sz w:val="20"/>
          <w:szCs w:val="20"/>
        </w:rPr>
        <w:t xml:space="preserve">dependent, could this issue mean we need a different business model here at TCU. </w:t>
      </w:r>
      <w:r w:rsidRPr="00FE76CA">
        <w:rPr>
          <w:sz w:val="20"/>
          <w:szCs w:val="20"/>
        </w:rPr>
        <w:t>The c</w:t>
      </w:r>
      <w:r w:rsidR="00B8191C" w:rsidRPr="00FE76CA">
        <w:rPr>
          <w:sz w:val="20"/>
          <w:szCs w:val="20"/>
        </w:rPr>
        <w:t xml:space="preserve">urrent business model IS unsustainable. </w:t>
      </w:r>
      <w:r w:rsidRPr="00FE76CA">
        <w:rPr>
          <w:sz w:val="20"/>
          <w:szCs w:val="20"/>
        </w:rPr>
        <w:t>TCU</w:t>
      </w:r>
      <w:r w:rsidR="00B8191C" w:rsidRPr="00FE76CA">
        <w:rPr>
          <w:sz w:val="20"/>
          <w:szCs w:val="20"/>
        </w:rPr>
        <w:t xml:space="preserve"> need</w:t>
      </w:r>
      <w:r w:rsidRPr="00FE76CA">
        <w:rPr>
          <w:sz w:val="20"/>
          <w:szCs w:val="20"/>
        </w:rPr>
        <w:t>s</w:t>
      </w:r>
      <w:r w:rsidR="00B8191C" w:rsidRPr="00FE76CA">
        <w:rPr>
          <w:sz w:val="20"/>
          <w:szCs w:val="20"/>
        </w:rPr>
        <w:t xml:space="preserve"> a more </w:t>
      </w:r>
      <w:r w:rsidRPr="00FE76CA">
        <w:rPr>
          <w:sz w:val="20"/>
          <w:szCs w:val="20"/>
        </w:rPr>
        <w:t>e</w:t>
      </w:r>
      <w:r w:rsidR="00B8191C" w:rsidRPr="00FE76CA">
        <w:rPr>
          <w:sz w:val="20"/>
          <w:szCs w:val="20"/>
        </w:rPr>
        <w:t>ndowment</w:t>
      </w:r>
      <w:r w:rsidRPr="00FE76CA">
        <w:rPr>
          <w:sz w:val="20"/>
          <w:szCs w:val="20"/>
        </w:rPr>
        <w:t>-</w:t>
      </w:r>
      <w:r w:rsidR="00B8191C" w:rsidRPr="00FE76CA">
        <w:rPr>
          <w:sz w:val="20"/>
          <w:szCs w:val="20"/>
        </w:rPr>
        <w:t xml:space="preserve">dependent business model. Question of the power of UCAC in this conversation. Need to look at this matter more holistically. </w:t>
      </w:r>
      <w:r w:rsidR="004F1327" w:rsidRPr="00FE76CA">
        <w:rPr>
          <w:sz w:val="20"/>
          <w:szCs w:val="20"/>
        </w:rPr>
        <w:t xml:space="preserve">What is the financial exigency? </w:t>
      </w:r>
      <w:r w:rsidRPr="00FE76CA">
        <w:rPr>
          <w:sz w:val="20"/>
          <w:szCs w:val="20"/>
        </w:rPr>
        <w:t>Any benefits cuts s</w:t>
      </w:r>
      <w:r w:rsidR="004F1327" w:rsidRPr="00FE76CA">
        <w:rPr>
          <w:sz w:val="20"/>
          <w:szCs w:val="20"/>
        </w:rPr>
        <w:t xml:space="preserve">hould be a function of a campus wide cost-cutting endeavor. Information gaps: IRS 990 data tells us about faculty, but not staff (in comparison </w:t>
      </w:r>
      <w:r w:rsidR="004F1327" w:rsidRPr="00FE76CA">
        <w:rPr>
          <w:sz w:val="20"/>
          <w:szCs w:val="20"/>
        </w:rPr>
        <w:lastRenderedPageBreak/>
        <w:t xml:space="preserve">institutions); also need more info on peer and aspirant </w:t>
      </w:r>
      <w:r w:rsidRPr="00FE76CA">
        <w:rPr>
          <w:sz w:val="20"/>
          <w:szCs w:val="20"/>
        </w:rPr>
        <w:t xml:space="preserve">universities’ </w:t>
      </w:r>
      <w:r w:rsidR="004F1327" w:rsidRPr="00FE76CA">
        <w:rPr>
          <w:sz w:val="20"/>
          <w:szCs w:val="20"/>
        </w:rPr>
        <w:t>benefits</w:t>
      </w:r>
      <w:r w:rsidRPr="00FE76CA">
        <w:rPr>
          <w:sz w:val="20"/>
          <w:szCs w:val="20"/>
        </w:rPr>
        <w:t>. What are the cost estimates, and the savings estimates? UCAC needs</w:t>
      </w:r>
      <w:r w:rsidR="004F1327" w:rsidRPr="00FE76CA">
        <w:rPr>
          <w:sz w:val="20"/>
          <w:szCs w:val="20"/>
        </w:rPr>
        <w:t xml:space="preserve"> more info on these items.</w:t>
      </w:r>
    </w:p>
    <w:p w:rsidR="004F1327" w:rsidRPr="00FE76CA" w:rsidRDefault="004F1327">
      <w:pPr>
        <w:rPr>
          <w:sz w:val="20"/>
          <w:szCs w:val="20"/>
        </w:rPr>
      </w:pPr>
      <w:r w:rsidRPr="00FE76CA">
        <w:rPr>
          <w:b/>
          <w:sz w:val="20"/>
          <w:szCs w:val="20"/>
        </w:rPr>
        <w:t>Challenge:</w:t>
      </w:r>
      <w:r w:rsidRPr="00FE76CA">
        <w:rPr>
          <w:sz w:val="20"/>
          <w:szCs w:val="20"/>
        </w:rPr>
        <w:t xml:space="preserve"> how do we do this to reduce costs and not compromise core elements of the new Lead </w:t>
      </w:r>
      <w:proofErr w:type="gramStart"/>
      <w:r w:rsidRPr="00FE76CA">
        <w:rPr>
          <w:sz w:val="20"/>
          <w:szCs w:val="20"/>
        </w:rPr>
        <w:t>On</w:t>
      </w:r>
      <w:proofErr w:type="gramEnd"/>
      <w:r w:rsidRPr="00FE76CA">
        <w:rPr>
          <w:sz w:val="20"/>
          <w:szCs w:val="20"/>
        </w:rPr>
        <w:t xml:space="preserve"> Strategic Plan. </w:t>
      </w:r>
    </w:p>
    <w:p w:rsidR="00E11E67" w:rsidRPr="00FE76CA" w:rsidRDefault="00E11E67">
      <w:pPr>
        <w:rPr>
          <w:sz w:val="20"/>
          <w:szCs w:val="20"/>
        </w:rPr>
      </w:pPr>
      <w:r w:rsidRPr="00FE76CA">
        <w:rPr>
          <w:sz w:val="20"/>
          <w:szCs w:val="20"/>
        </w:rPr>
        <w:t>If you have some good specific ideas, please email them to Ted</w:t>
      </w:r>
      <w:r w:rsidR="00AA2F8F" w:rsidRPr="00FE76CA">
        <w:rPr>
          <w:sz w:val="20"/>
          <w:szCs w:val="20"/>
        </w:rPr>
        <w:t xml:space="preserve"> </w:t>
      </w:r>
      <w:proofErr w:type="spellStart"/>
      <w:r w:rsidR="00AA2F8F" w:rsidRPr="00FE76CA">
        <w:rPr>
          <w:sz w:val="20"/>
          <w:szCs w:val="20"/>
        </w:rPr>
        <w:t>Legatski</w:t>
      </w:r>
      <w:proofErr w:type="spellEnd"/>
      <w:r w:rsidR="002B7CF1" w:rsidRPr="00FE76CA">
        <w:rPr>
          <w:sz w:val="20"/>
          <w:szCs w:val="20"/>
        </w:rPr>
        <w:t>:</w:t>
      </w:r>
      <w:r w:rsidR="00AA2F8F" w:rsidRPr="00FE76CA">
        <w:rPr>
          <w:sz w:val="20"/>
          <w:szCs w:val="20"/>
        </w:rPr>
        <w:t xml:space="preserve"> </w:t>
      </w:r>
      <w:hyperlink r:id="rId7" w:history="1">
        <w:r w:rsidR="00AA2F8F" w:rsidRPr="00FE76CA">
          <w:rPr>
            <w:rStyle w:val="Hyperlink"/>
            <w:sz w:val="20"/>
            <w:szCs w:val="20"/>
          </w:rPr>
          <w:t>t.legatski@tcu.edu</w:t>
        </w:r>
      </w:hyperlink>
      <w:r w:rsidR="00AA2F8F" w:rsidRPr="00FE76CA">
        <w:rPr>
          <w:sz w:val="20"/>
          <w:szCs w:val="20"/>
        </w:rPr>
        <w:t xml:space="preserve"> </w:t>
      </w:r>
      <w:r w:rsidRPr="00FE76CA">
        <w:rPr>
          <w:sz w:val="20"/>
          <w:szCs w:val="20"/>
        </w:rPr>
        <w:t>. He would appreciate it.</w:t>
      </w:r>
    </w:p>
    <w:p w:rsidR="00E11E67" w:rsidRPr="00FE76CA" w:rsidRDefault="00E11E67">
      <w:pPr>
        <w:rPr>
          <w:sz w:val="20"/>
          <w:szCs w:val="20"/>
        </w:rPr>
      </w:pPr>
      <w:r w:rsidRPr="00FE76CA">
        <w:rPr>
          <w:b/>
          <w:sz w:val="20"/>
          <w:szCs w:val="20"/>
        </w:rPr>
        <w:t xml:space="preserve">Andrew Ledbetter, </w:t>
      </w:r>
      <w:r w:rsidR="00020812" w:rsidRPr="00FE76CA">
        <w:rPr>
          <w:b/>
          <w:sz w:val="20"/>
          <w:szCs w:val="20"/>
        </w:rPr>
        <w:t>Faculty Relations Committee</w:t>
      </w:r>
      <w:r w:rsidRPr="00FE76CA">
        <w:rPr>
          <w:b/>
          <w:sz w:val="20"/>
          <w:szCs w:val="20"/>
        </w:rPr>
        <w:t xml:space="preserve"> </w:t>
      </w:r>
      <w:r w:rsidR="00020812" w:rsidRPr="00FE76CA">
        <w:rPr>
          <w:b/>
          <w:sz w:val="20"/>
          <w:szCs w:val="20"/>
        </w:rPr>
        <w:t xml:space="preserve">(FRC) </w:t>
      </w:r>
      <w:r w:rsidRPr="00FE76CA">
        <w:rPr>
          <w:b/>
          <w:sz w:val="20"/>
          <w:szCs w:val="20"/>
        </w:rPr>
        <w:t>chair</w:t>
      </w:r>
      <w:r w:rsidRPr="00FE76CA">
        <w:rPr>
          <w:sz w:val="20"/>
          <w:szCs w:val="20"/>
        </w:rPr>
        <w:t xml:space="preserve">, </w:t>
      </w:r>
      <w:r w:rsidR="00CB4BA5" w:rsidRPr="00FE76CA">
        <w:rPr>
          <w:sz w:val="20"/>
          <w:szCs w:val="20"/>
        </w:rPr>
        <w:t>addressed the</w:t>
      </w:r>
      <w:r w:rsidRPr="00FE76CA">
        <w:rPr>
          <w:sz w:val="20"/>
          <w:szCs w:val="20"/>
        </w:rPr>
        <w:t xml:space="preserve"> </w:t>
      </w:r>
      <w:r w:rsidR="00CB4BA5" w:rsidRPr="00FE76CA">
        <w:rPr>
          <w:sz w:val="20"/>
          <w:szCs w:val="20"/>
        </w:rPr>
        <w:t xml:space="preserve">Senate on </w:t>
      </w:r>
      <w:r w:rsidRPr="00FE76CA">
        <w:rPr>
          <w:sz w:val="20"/>
          <w:szCs w:val="20"/>
        </w:rPr>
        <w:t xml:space="preserve">the Compensation Analysis </w:t>
      </w:r>
      <w:r w:rsidR="00CB4BA5" w:rsidRPr="00FE76CA">
        <w:rPr>
          <w:sz w:val="20"/>
          <w:szCs w:val="20"/>
        </w:rPr>
        <w:t xml:space="preserve">Report </w:t>
      </w:r>
      <w:r w:rsidRPr="00FE76CA">
        <w:rPr>
          <w:sz w:val="20"/>
          <w:szCs w:val="20"/>
        </w:rPr>
        <w:t>his committee has created. FRC</w:t>
      </w:r>
      <w:r w:rsidR="00CB4BA5" w:rsidRPr="00FE76CA">
        <w:rPr>
          <w:sz w:val="20"/>
          <w:szCs w:val="20"/>
        </w:rPr>
        <w:t>’s</w:t>
      </w:r>
      <w:r w:rsidRPr="00FE76CA">
        <w:rPr>
          <w:sz w:val="20"/>
          <w:szCs w:val="20"/>
        </w:rPr>
        <w:t xml:space="preserve"> </w:t>
      </w:r>
      <w:r w:rsidR="00CB4BA5" w:rsidRPr="00FE76CA">
        <w:rPr>
          <w:sz w:val="20"/>
          <w:szCs w:val="20"/>
        </w:rPr>
        <w:t>requested Senate e</w:t>
      </w:r>
      <w:r w:rsidRPr="00FE76CA">
        <w:rPr>
          <w:sz w:val="20"/>
          <w:szCs w:val="20"/>
        </w:rPr>
        <w:t>ndorsement of</w:t>
      </w:r>
      <w:r w:rsidR="00CB4BA5" w:rsidRPr="00FE76CA">
        <w:rPr>
          <w:sz w:val="20"/>
          <w:szCs w:val="20"/>
        </w:rPr>
        <w:t xml:space="preserve"> the r</w:t>
      </w:r>
      <w:r w:rsidRPr="00FE76CA">
        <w:rPr>
          <w:sz w:val="20"/>
          <w:szCs w:val="20"/>
        </w:rPr>
        <w:t>eport: “The TCU Faculty Senate endorses the FRC’s Compensation Analysis Report as evidence that (a) TCU’s benefits are not too rich and that (b) to be competitive, compensation levels should not be reduced for current or future faculty.</w:t>
      </w:r>
      <w:r w:rsidR="00CB4BA5" w:rsidRPr="00FE76CA">
        <w:rPr>
          <w:sz w:val="20"/>
          <w:szCs w:val="20"/>
        </w:rPr>
        <w:t>”</w:t>
      </w:r>
      <w:r w:rsidRPr="00FE76CA">
        <w:rPr>
          <w:sz w:val="20"/>
          <w:szCs w:val="20"/>
        </w:rPr>
        <w:t xml:space="preserve"> The vote was taken and passed, with one </w:t>
      </w:r>
      <w:r w:rsidR="00CB4BA5" w:rsidRPr="00FE76CA">
        <w:rPr>
          <w:sz w:val="20"/>
          <w:szCs w:val="20"/>
        </w:rPr>
        <w:t xml:space="preserve">senator </w:t>
      </w:r>
      <w:r w:rsidRPr="00FE76CA">
        <w:rPr>
          <w:sz w:val="20"/>
          <w:szCs w:val="20"/>
        </w:rPr>
        <w:t>opposed (because the resolution was deemed too weak).</w:t>
      </w:r>
    </w:p>
    <w:p w:rsidR="00E11E67" w:rsidRPr="00FE76CA" w:rsidRDefault="00E11E67">
      <w:pPr>
        <w:rPr>
          <w:sz w:val="20"/>
          <w:szCs w:val="20"/>
        </w:rPr>
      </w:pPr>
      <w:r w:rsidRPr="00FE76CA">
        <w:rPr>
          <w:b/>
          <w:sz w:val="20"/>
          <w:szCs w:val="20"/>
        </w:rPr>
        <w:t xml:space="preserve">Josh </w:t>
      </w:r>
      <w:proofErr w:type="spellStart"/>
      <w:r w:rsidRPr="00FE76CA">
        <w:rPr>
          <w:b/>
          <w:sz w:val="20"/>
          <w:szCs w:val="20"/>
        </w:rPr>
        <w:t>Witkop</w:t>
      </w:r>
      <w:proofErr w:type="spellEnd"/>
      <w:r w:rsidRPr="00FE76CA">
        <w:rPr>
          <w:b/>
          <w:sz w:val="20"/>
          <w:szCs w:val="20"/>
        </w:rPr>
        <w:t xml:space="preserve"> (SGA President) and Abby </w:t>
      </w:r>
      <w:proofErr w:type="spellStart"/>
      <w:r w:rsidRPr="00FE76CA">
        <w:rPr>
          <w:b/>
          <w:sz w:val="20"/>
          <w:szCs w:val="20"/>
        </w:rPr>
        <w:t>Vernacchia</w:t>
      </w:r>
      <w:proofErr w:type="spellEnd"/>
      <w:r w:rsidRPr="00FE76CA">
        <w:rPr>
          <w:b/>
          <w:sz w:val="20"/>
          <w:szCs w:val="20"/>
        </w:rPr>
        <w:t xml:space="preserve"> (Academic Affairs Chair of SGA)</w:t>
      </w:r>
      <w:r w:rsidRPr="00FE76CA">
        <w:rPr>
          <w:sz w:val="20"/>
          <w:szCs w:val="20"/>
        </w:rPr>
        <w:t xml:space="preserve">: </w:t>
      </w:r>
      <w:r w:rsidR="00CB4BA5" w:rsidRPr="00FE76CA">
        <w:rPr>
          <w:sz w:val="20"/>
          <w:szCs w:val="20"/>
        </w:rPr>
        <w:t>brought a recommendation that the Senate endorse e</w:t>
      </w:r>
      <w:r w:rsidRPr="00FE76CA">
        <w:rPr>
          <w:sz w:val="20"/>
          <w:szCs w:val="20"/>
        </w:rPr>
        <w:t>lectronic testing</w:t>
      </w:r>
      <w:r w:rsidR="00CB4BA5" w:rsidRPr="00FE76CA">
        <w:rPr>
          <w:sz w:val="20"/>
          <w:szCs w:val="20"/>
        </w:rPr>
        <w:t xml:space="preserve"> to replace paper testing.</w:t>
      </w:r>
      <w:r w:rsidRPr="00FE76CA">
        <w:rPr>
          <w:sz w:val="20"/>
          <w:szCs w:val="20"/>
        </w:rPr>
        <w:t xml:space="preserve"> </w:t>
      </w:r>
      <w:r w:rsidR="00A24EDD" w:rsidRPr="00FE76CA">
        <w:rPr>
          <w:sz w:val="20"/>
          <w:szCs w:val="20"/>
        </w:rPr>
        <w:t xml:space="preserve">Currently, TCU pays to provide </w:t>
      </w:r>
      <w:proofErr w:type="spellStart"/>
      <w:r w:rsidR="00A24EDD" w:rsidRPr="00FE76CA">
        <w:rPr>
          <w:sz w:val="20"/>
          <w:szCs w:val="20"/>
        </w:rPr>
        <w:t>Scantrons</w:t>
      </w:r>
      <w:proofErr w:type="spellEnd"/>
      <w:r w:rsidR="00A24EDD" w:rsidRPr="00FE76CA">
        <w:rPr>
          <w:sz w:val="20"/>
          <w:szCs w:val="20"/>
        </w:rPr>
        <w:t xml:space="preserve"> </w:t>
      </w:r>
      <w:r w:rsidR="00CB4BA5" w:rsidRPr="00FE76CA">
        <w:rPr>
          <w:sz w:val="20"/>
          <w:szCs w:val="20"/>
        </w:rPr>
        <w:t xml:space="preserve">and Blue Books </w:t>
      </w:r>
      <w:r w:rsidR="00A24EDD" w:rsidRPr="00FE76CA">
        <w:rPr>
          <w:sz w:val="20"/>
          <w:szCs w:val="20"/>
        </w:rPr>
        <w:t xml:space="preserve">for student testing. </w:t>
      </w:r>
      <w:r w:rsidR="00CB4BA5" w:rsidRPr="00FE76CA">
        <w:rPr>
          <w:sz w:val="20"/>
          <w:szCs w:val="20"/>
        </w:rPr>
        <w:t>The SGA r</w:t>
      </w:r>
      <w:r w:rsidR="00A24EDD" w:rsidRPr="00FE76CA">
        <w:rPr>
          <w:sz w:val="20"/>
          <w:szCs w:val="20"/>
        </w:rPr>
        <w:t xml:space="preserve">ecommendation </w:t>
      </w:r>
      <w:r w:rsidR="00CB4BA5" w:rsidRPr="00FE76CA">
        <w:rPr>
          <w:sz w:val="20"/>
          <w:szCs w:val="20"/>
        </w:rPr>
        <w:t xml:space="preserve">is </w:t>
      </w:r>
      <w:r w:rsidR="00A24EDD" w:rsidRPr="00FE76CA">
        <w:rPr>
          <w:sz w:val="20"/>
          <w:szCs w:val="20"/>
        </w:rPr>
        <w:t xml:space="preserve">to switch to electronic testing. </w:t>
      </w:r>
      <w:r w:rsidR="00CB4BA5" w:rsidRPr="00FE76CA">
        <w:rPr>
          <w:sz w:val="20"/>
          <w:szCs w:val="20"/>
        </w:rPr>
        <w:t xml:space="preserve">Josh noted several types of benefits of this recommended change: </w:t>
      </w:r>
      <w:r w:rsidR="00A24EDD" w:rsidRPr="00FE76CA">
        <w:rPr>
          <w:sz w:val="20"/>
          <w:szCs w:val="20"/>
        </w:rPr>
        <w:t xml:space="preserve">Academic benefits (security and automatic recording of grades, randomizes questions; </w:t>
      </w:r>
      <w:r w:rsidR="0093652F" w:rsidRPr="00FE76CA">
        <w:rPr>
          <w:sz w:val="20"/>
          <w:szCs w:val="20"/>
        </w:rPr>
        <w:t>software formats tests</w:t>
      </w:r>
      <w:r w:rsidR="00CB4BA5" w:rsidRPr="00FE76CA">
        <w:rPr>
          <w:sz w:val="20"/>
          <w:szCs w:val="20"/>
        </w:rPr>
        <w:t>)</w:t>
      </w:r>
      <w:r w:rsidR="0093652F" w:rsidRPr="00FE76CA">
        <w:rPr>
          <w:sz w:val="20"/>
          <w:szCs w:val="20"/>
        </w:rPr>
        <w:t xml:space="preserve">; Environmental </w:t>
      </w:r>
      <w:r w:rsidR="00CB4BA5" w:rsidRPr="00FE76CA">
        <w:rPr>
          <w:sz w:val="20"/>
          <w:szCs w:val="20"/>
        </w:rPr>
        <w:t>benefits (</w:t>
      </w:r>
      <w:r w:rsidR="0093652F" w:rsidRPr="00FE76CA">
        <w:rPr>
          <w:sz w:val="20"/>
          <w:szCs w:val="20"/>
        </w:rPr>
        <w:t>much less paper waste</w:t>
      </w:r>
      <w:r w:rsidR="00CB4BA5" w:rsidRPr="00FE76CA">
        <w:rPr>
          <w:sz w:val="20"/>
          <w:szCs w:val="20"/>
        </w:rPr>
        <w:t>)</w:t>
      </w:r>
      <w:r w:rsidR="0093652F" w:rsidRPr="00FE76CA">
        <w:rPr>
          <w:sz w:val="20"/>
          <w:szCs w:val="20"/>
        </w:rPr>
        <w:t xml:space="preserve">; Budgetary </w:t>
      </w:r>
      <w:r w:rsidR="00CB4BA5" w:rsidRPr="00FE76CA">
        <w:rPr>
          <w:sz w:val="20"/>
          <w:szCs w:val="20"/>
        </w:rPr>
        <w:t xml:space="preserve">benefits ($35,000 saved, as </w:t>
      </w:r>
      <w:r w:rsidR="0093652F" w:rsidRPr="00FE76CA">
        <w:rPr>
          <w:sz w:val="20"/>
          <w:szCs w:val="20"/>
        </w:rPr>
        <w:t xml:space="preserve">TCU already has a contract with </w:t>
      </w:r>
      <w:r w:rsidR="0093652F" w:rsidRPr="00FE76CA">
        <w:rPr>
          <w:b/>
          <w:sz w:val="20"/>
          <w:szCs w:val="20"/>
        </w:rPr>
        <w:t xml:space="preserve">D2L </w:t>
      </w:r>
      <w:r w:rsidR="0093652F" w:rsidRPr="00FE76CA">
        <w:rPr>
          <w:sz w:val="20"/>
          <w:szCs w:val="20"/>
        </w:rPr>
        <w:t xml:space="preserve">and </w:t>
      </w:r>
      <w:r w:rsidR="00CB4BA5" w:rsidRPr="00FE76CA">
        <w:rPr>
          <w:sz w:val="20"/>
          <w:szCs w:val="20"/>
        </w:rPr>
        <w:t>electronic testing</w:t>
      </w:r>
      <w:r w:rsidR="0093652F" w:rsidRPr="00FE76CA">
        <w:rPr>
          <w:sz w:val="20"/>
          <w:szCs w:val="20"/>
        </w:rPr>
        <w:t xml:space="preserve"> capac</w:t>
      </w:r>
      <w:r w:rsidR="00CB4BA5" w:rsidRPr="00FE76CA">
        <w:rPr>
          <w:sz w:val="20"/>
          <w:szCs w:val="20"/>
        </w:rPr>
        <w:t xml:space="preserve">ity is included in the platform). When they approached Provost Dahlberg, she </w:t>
      </w:r>
      <w:r w:rsidR="0093652F" w:rsidRPr="00FE76CA">
        <w:rPr>
          <w:sz w:val="20"/>
          <w:szCs w:val="20"/>
        </w:rPr>
        <w:t>asked about the impact</w:t>
      </w:r>
      <w:r w:rsidR="00CB4BA5" w:rsidRPr="00FE76CA">
        <w:rPr>
          <w:sz w:val="20"/>
          <w:szCs w:val="20"/>
        </w:rPr>
        <w:t>s</w:t>
      </w:r>
      <w:r w:rsidR="0093652F" w:rsidRPr="00FE76CA">
        <w:rPr>
          <w:sz w:val="20"/>
          <w:szCs w:val="20"/>
        </w:rPr>
        <w:t xml:space="preserve"> for students with accommodations and for the Testing Center. Josh </w:t>
      </w:r>
      <w:r w:rsidR="00CB4BA5" w:rsidRPr="00FE76CA">
        <w:rPr>
          <w:sz w:val="20"/>
          <w:szCs w:val="20"/>
        </w:rPr>
        <w:t>asked</w:t>
      </w:r>
      <w:r w:rsidR="0093652F" w:rsidRPr="00FE76CA">
        <w:rPr>
          <w:sz w:val="20"/>
          <w:szCs w:val="20"/>
        </w:rPr>
        <w:t xml:space="preserve"> for initial responses from faculty senators. One senator spoke to his positi</w:t>
      </w:r>
      <w:r w:rsidR="00CB4BA5" w:rsidRPr="00FE76CA">
        <w:rPr>
          <w:sz w:val="20"/>
          <w:szCs w:val="20"/>
        </w:rPr>
        <w:t xml:space="preserve">ve experience with the platform, but was frustrated that it wouldn’t work in class time as not every student has a suitable laptop to use. Another senator asked, </w:t>
      </w:r>
      <w:proofErr w:type="gramStart"/>
      <w:r w:rsidR="00097C6C" w:rsidRPr="00FE76CA">
        <w:rPr>
          <w:sz w:val="20"/>
          <w:szCs w:val="20"/>
        </w:rPr>
        <w:t>What</w:t>
      </w:r>
      <w:proofErr w:type="gramEnd"/>
      <w:r w:rsidR="00097C6C" w:rsidRPr="00FE76CA">
        <w:rPr>
          <w:sz w:val="20"/>
          <w:szCs w:val="20"/>
        </w:rPr>
        <w:t xml:space="preserve"> might this look like if computers are included in tuition? What about the Testing Center?</w:t>
      </w:r>
      <w:r w:rsidR="002F35C4" w:rsidRPr="00FE76CA">
        <w:rPr>
          <w:sz w:val="20"/>
          <w:szCs w:val="20"/>
        </w:rPr>
        <w:t xml:space="preserve"> </w:t>
      </w:r>
      <w:proofErr w:type="spellStart"/>
      <w:r w:rsidR="00CB4BA5" w:rsidRPr="00FE76CA">
        <w:rPr>
          <w:sz w:val="20"/>
          <w:szCs w:val="20"/>
        </w:rPr>
        <w:t>Witkop</w:t>
      </w:r>
      <w:proofErr w:type="spellEnd"/>
      <w:r w:rsidR="00CB4BA5" w:rsidRPr="00FE76CA">
        <w:rPr>
          <w:sz w:val="20"/>
          <w:szCs w:val="20"/>
        </w:rPr>
        <w:t xml:space="preserve"> a</w:t>
      </w:r>
      <w:r w:rsidR="002F35C4" w:rsidRPr="00FE76CA">
        <w:rPr>
          <w:sz w:val="20"/>
          <w:szCs w:val="20"/>
        </w:rPr>
        <w:t xml:space="preserve">sked for a show of hands as to how many </w:t>
      </w:r>
      <w:r w:rsidR="00CB4BA5" w:rsidRPr="00FE76CA">
        <w:rPr>
          <w:sz w:val="20"/>
          <w:szCs w:val="20"/>
        </w:rPr>
        <w:t xml:space="preserve">senators </w:t>
      </w:r>
      <w:r w:rsidR="002F35C4" w:rsidRPr="00FE76CA">
        <w:rPr>
          <w:sz w:val="20"/>
          <w:szCs w:val="20"/>
        </w:rPr>
        <w:t xml:space="preserve">would be open to transition to this </w:t>
      </w:r>
      <w:r w:rsidR="00CB4BA5" w:rsidRPr="00FE76CA">
        <w:rPr>
          <w:sz w:val="20"/>
          <w:szCs w:val="20"/>
        </w:rPr>
        <w:t xml:space="preserve">e-testing </w:t>
      </w:r>
      <w:r w:rsidR="002F35C4" w:rsidRPr="00FE76CA">
        <w:rPr>
          <w:sz w:val="20"/>
          <w:szCs w:val="20"/>
        </w:rPr>
        <w:t>in a 5 year window?</w:t>
      </w:r>
    </w:p>
    <w:p w:rsidR="002F35C4" w:rsidRPr="00FE76CA" w:rsidRDefault="002F35C4">
      <w:pPr>
        <w:rPr>
          <w:sz w:val="20"/>
          <w:szCs w:val="20"/>
        </w:rPr>
      </w:pPr>
      <w:r w:rsidRPr="00FE76CA">
        <w:rPr>
          <w:sz w:val="20"/>
          <w:szCs w:val="20"/>
        </w:rPr>
        <w:t xml:space="preserve">We can’t commit our peers to this, one senator said. </w:t>
      </w:r>
      <w:r w:rsidR="00CB4BA5" w:rsidRPr="00FE76CA">
        <w:rPr>
          <w:sz w:val="20"/>
          <w:szCs w:val="20"/>
        </w:rPr>
        <w:t>That’s an element of academic freedom.</w:t>
      </w:r>
      <w:r w:rsidRPr="00FE76CA">
        <w:rPr>
          <w:sz w:val="20"/>
          <w:szCs w:val="20"/>
        </w:rPr>
        <w:t xml:space="preserve"> </w:t>
      </w:r>
      <w:r w:rsidR="00CB4BA5" w:rsidRPr="00FE76CA">
        <w:rPr>
          <w:sz w:val="20"/>
          <w:szCs w:val="20"/>
        </w:rPr>
        <w:t xml:space="preserve">Chair Jones thanked the student leaders for </w:t>
      </w:r>
      <w:r w:rsidRPr="00FE76CA">
        <w:rPr>
          <w:sz w:val="20"/>
          <w:szCs w:val="20"/>
        </w:rPr>
        <w:t>opening this discussion.</w:t>
      </w:r>
    </w:p>
    <w:p w:rsidR="002F35C4" w:rsidRPr="00FE76CA" w:rsidRDefault="001C7480">
      <w:pPr>
        <w:rPr>
          <w:sz w:val="20"/>
          <w:szCs w:val="20"/>
        </w:rPr>
      </w:pPr>
      <w:r w:rsidRPr="00FE76CA">
        <w:rPr>
          <w:sz w:val="20"/>
          <w:szCs w:val="20"/>
        </w:rPr>
        <w:t xml:space="preserve">Pam </w:t>
      </w:r>
      <w:proofErr w:type="spellStart"/>
      <w:r w:rsidRPr="00FE76CA">
        <w:rPr>
          <w:sz w:val="20"/>
          <w:szCs w:val="20"/>
        </w:rPr>
        <w:t>Frable</w:t>
      </w:r>
      <w:proofErr w:type="spellEnd"/>
      <w:r w:rsidR="00CB4BA5" w:rsidRPr="00FE76CA">
        <w:rPr>
          <w:sz w:val="20"/>
          <w:szCs w:val="20"/>
        </w:rPr>
        <w:t>, GC chair,</w:t>
      </w:r>
      <w:r w:rsidRPr="00FE76CA">
        <w:rPr>
          <w:sz w:val="20"/>
          <w:szCs w:val="20"/>
        </w:rPr>
        <w:t xml:space="preserve"> brought</w:t>
      </w:r>
      <w:r w:rsidR="00CB4BA5" w:rsidRPr="00FE76CA">
        <w:rPr>
          <w:sz w:val="20"/>
          <w:szCs w:val="20"/>
        </w:rPr>
        <w:t xml:space="preserve"> a</w:t>
      </w:r>
      <w:r w:rsidRPr="00FE76CA">
        <w:rPr>
          <w:sz w:val="20"/>
          <w:szCs w:val="20"/>
        </w:rPr>
        <w:t xml:space="preserve"> brief question from the </w:t>
      </w:r>
      <w:r w:rsidR="002F35C4" w:rsidRPr="00FE76CA">
        <w:rPr>
          <w:sz w:val="20"/>
          <w:szCs w:val="20"/>
        </w:rPr>
        <w:t>Governance Committee</w:t>
      </w:r>
      <w:r w:rsidRPr="00FE76CA">
        <w:rPr>
          <w:sz w:val="20"/>
          <w:szCs w:val="20"/>
        </w:rPr>
        <w:t xml:space="preserve"> which is</w:t>
      </w:r>
      <w:r w:rsidR="002F35C4" w:rsidRPr="00FE76CA">
        <w:rPr>
          <w:sz w:val="20"/>
          <w:szCs w:val="20"/>
        </w:rPr>
        <w:t xml:space="preserve"> working on the Faculty Senator Emeritus designation. Is the body interested </w:t>
      </w:r>
      <w:r w:rsidRPr="00FE76CA">
        <w:rPr>
          <w:sz w:val="20"/>
          <w:szCs w:val="20"/>
        </w:rPr>
        <w:t xml:space="preserve">in them working on this matter? Show of hands requested. </w:t>
      </w:r>
      <w:r w:rsidR="00CB4BA5" w:rsidRPr="00FE76CA">
        <w:rPr>
          <w:sz w:val="20"/>
          <w:szCs w:val="20"/>
        </w:rPr>
        <w:t>The majority signaled their support.</w:t>
      </w:r>
    </w:p>
    <w:p w:rsidR="002F35C4" w:rsidRPr="00FE76CA" w:rsidRDefault="002F35C4">
      <w:pPr>
        <w:rPr>
          <w:sz w:val="20"/>
          <w:szCs w:val="20"/>
        </w:rPr>
      </w:pPr>
      <w:r w:rsidRPr="00FE76CA">
        <w:rPr>
          <w:sz w:val="20"/>
          <w:szCs w:val="20"/>
        </w:rPr>
        <w:t>Clark Jones thanked t</w:t>
      </w:r>
      <w:r w:rsidR="001C7480" w:rsidRPr="00FE76CA">
        <w:rPr>
          <w:sz w:val="20"/>
          <w:szCs w:val="20"/>
        </w:rPr>
        <w:t>he students and noted that the meetin</w:t>
      </w:r>
      <w:r w:rsidR="00CB4BA5" w:rsidRPr="00FE76CA">
        <w:rPr>
          <w:sz w:val="20"/>
          <w:szCs w:val="20"/>
        </w:rPr>
        <w:t>g was adjourned, at 5:00.</w:t>
      </w:r>
    </w:p>
    <w:bookmarkEnd w:id="0"/>
    <w:p w:rsidR="001C7480" w:rsidRDefault="001C7480"/>
    <w:p w:rsidR="00082AF8" w:rsidRDefault="00082AF8"/>
    <w:p w:rsidR="008A1996" w:rsidRDefault="008A1996"/>
    <w:sectPr w:rsidR="008A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6CC1"/>
    <w:multiLevelType w:val="hybridMultilevel"/>
    <w:tmpl w:val="D9808274"/>
    <w:lvl w:ilvl="0" w:tplc="178217BC">
      <w:start w:val="1"/>
      <w:numFmt w:val="bullet"/>
      <w:lvlText w:val="•"/>
      <w:lvlJc w:val="left"/>
      <w:pPr>
        <w:tabs>
          <w:tab w:val="num" w:pos="720"/>
        </w:tabs>
        <w:ind w:left="720" w:hanging="360"/>
      </w:pPr>
      <w:rPr>
        <w:rFonts w:ascii="Arial" w:hAnsi="Arial" w:hint="default"/>
      </w:rPr>
    </w:lvl>
    <w:lvl w:ilvl="1" w:tplc="CB564932">
      <w:start w:val="142"/>
      <w:numFmt w:val="bullet"/>
      <w:lvlText w:val="•"/>
      <w:lvlJc w:val="left"/>
      <w:pPr>
        <w:tabs>
          <w:tab w:val="num" w:pos="1440"/>
        </w:tabs>
        <w:ind w:left="1440" w:hanging="360"/>
      </w:pPr>
      <w:rPr>
        <w:rFonts w:ascii="Arial" w:hAnsi="Arial" w:hint="default"/>
      </w:rPr>
    </w:lvl>
    <w:lvl w:ilvl="2" w:tplc="915E6C98" w:tentative="1">
      <w:start w:val="1"/>
      <w:numFmt w:val="bullet"/>
      <w:lvlText w:val="•"/>
      <w:lvlJc w:val="left"/>
      <w:pPr>
        <w:tabs>
          <w:tab w:val="num" w:pos="2160"/>
        </w:tabs>
        <w:ind w:left="2160" w:hanging="360"/>
      </w:pPr>
      <w:rPr>
        <w:rFonts w:ascii="Arial" w:hAnsi="Arial" w:hint="default"/>
      </w:rPr>
    </w:lvl>
    <w:lvl w:ilvl="3" w:tplc="83A6F7E2" w:tentative="1">
      <w:start w:val="1"/>
      <w:numFmt w:val="bullet"/>
      <w:lvlText w:val="•"/>
      <w:lvlJc w:val="left"/>
      <w:pPr>
        <w:tabs>
          <w:tab w:val="num" w:pos="2880"/>
        </w:tabs>
        <w:ind w:left="2880" w:hanging="360"/>
      </w:pPr>
      <w:rPr>
        <w:rFonts w:ascii="Arial" w:hAnsi="Arial" w:hint="default"/>
      </w:rPr>
    </w:lvl>
    <w:lvl w:ilvl="4" w:tplc="477EFF24" w:tentative="1">
      <w:start w:val="1"/>
      <w:numFmt w:val="bullet"/>
      <w:lvlText w:val="•"/>
      <w:lvlJc w:val="left"/>
      <w:pPr>
        <w:tabs>
          <w:tab w:val="num" w:pos="3600"/>
        </w:tabs>
        <w:ind w:left="3600" w:hanging="360"/>
      </w:pPr>
      <w:rPr>
        <w:rFonts w:ascii="Arial" w:hAnsi="Arial" w:hint="default"/>
      </w:rPr>
    </w:lvl>
    <w:lvl w:ilvl="5" w:tplc="A4024A50" w:tentative="1">
      <w:start w:val="1"/>
      <w:numFmt w:val="bullet"/>
      <w:lvlText w:val="•"/>
      <w:lvlJc w:val="left"/>
      <w:pPr>
        <w:tabs>
          <w:tab w:val="num" w:pos="4320"/>
        </w:tabs>
        <w:ind w:left="4320" w:hanging="360"/>
      </w:pPr>
      <w:rPr>
        <w:rFonts w:ascii="Arial" w:hAnsi="Arial" w:hint="default"/>
      </w:rPr>
    </w:lvl>
    <w:lvl w:ilvl="6" w:tplc="383E2676" w:tentative="1">
      <w:start w:val="1"/>
      <w:numFmt w:val="bullet"/>
      <w:lvlText w:val="•"/>
      <w:lvlJc w:val="left"/>
      <w:pPr>
        <w:tabs>
          <w:tab w:val="num" w:pos="5040"/>
        </w:tabs>
        <w:ind w:left="5040" w:hanging="360"/>
      </w:pPr>
      <w:rPr>
        <w:rFonts w:ascii="Arial" w:hAnsi="Arial" w:hint="default"/>
      </w:rPr>
    </w:lvl>
    <w:lvl w:ilvl="7" w:tplc="C784AD7E" w:tentative="1">
      <w:start w:val="1"/>
      <w:numFmt w:val="bullet"/>
      <w:lvlText w:val="•"/>
      <w:lvlJc w:val="left"/>
      <w:pPr>
        <w:tabs>
          <w:tab w:val="num" w:pos="5760"/>
        </w:tabs>
        <w:ind w:left="5760" w:hanging="360"/>
      </w:pPr>
      <w:rPr>
        <w:rFonts w:ascii="Arial" w:hAnsi="Arial" w:hint="default"/>
      </w:rPr>
    </w:lvl>
    <w:lvl w:ilvl="8" w:tplc="32E85C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FF14D6"/>
    <w:multiLevelType w:val="hybridMultilevel"/>
    <w:tmpl w:val="84A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01"/>
    <w:rsid w:val="00020812"/>
    <w:rsid w:val="0007034C"/>
    <w:rsid w:val="00082AF8"/>
    <w:rsid w:val="00097C6C"/>
    <w:rsid w:val="00140082"/>
    <w:rsid w:val="001C7480"/>
    <w:rsid w:val="002B7CF1"/>
    <w:rsid w:val="002F35C4"/>
    <w:rsid w:val="002F7C37"/>
    <w:rsid w:val="004F1327"/>
    <w:rsid w:val="005421D5"/>
    <w:rsid w:val="005B44C4"/>
    <w:rsid w:val="005F0B3E"/>
    <w:rsid w:val="006A01B6"/>
    <w:rsid w:val="007A23CB"/>
    <w:rsid w:val="007A644B"/>
    <w:rsid w:val="007E39AB"/>
    <w:rsid w:val="007F6B0A"/>
    <w:rsid w:val="008A1996"/>
    <w:rsid w:val="008D3675"/>
    <w:rsid w:val="008F2894"/>
    <w:rsid w:val="0093652F"/>
    <w:rsid w:val="00951DB5"/>
    <w:rsid w:val="009D434D"/>
    <w:rsid w:val="00A012A2"/>
    <w:rsid w:val="00A07238"/>
    <w:rsid w:val="00A24EDD"/>
    <w:rsid w:val="00AA2F8F"/>
    <w:rsid w:val="00AF4008"/>
    <w:rsid w:val="00B616DA"/>
    <w:rsid w:val="00B8191C"/>
    <w:rsid w:val="00C24294"/>
    <w:rsid w:val="00CB4BA5"/>
    <w:rsid w:val="00D01001"/>
    <w:rsid w:val="00D108F7"/>
    <w:rsid w:val="00DB7A2E"/>
    <w:rsid w:val="00E04658"/>
    <w:rsid w:val="00E11E67"/>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F38"/>
  <w15:chartTrackingRefBased/>
  <w15:docId w15:val="{9E9343C2-EB3B-4331-91D8-1B5006B7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2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8F7"/>
    <w:rPr>
      <w:color w:val="0000FF"/>
      <w:u w:val="single"/>
    </w:rPr>
  </w:style>
  <w:style w:type="character" w:customStyle="1" w:styleId="Heading1Char">
    <w:name w:val="Heading 1 Char"/>
    <w:basedOn w:val="DefaultParagraphFont"/>
    <w:link w:val="Heading1"/>
    <w:uiPriority w:val="9"/>
    <w:rsid w:val="00DB7A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367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07112">
      <w:bodyDiv w:val="1"/>
      <w:marLeft w:val="0"/>
      <w:marRight w:val="0"/>
      <w:marTop w:val="0"/>
      <w:marBottom w:val="0"/>
      <w:divBdr>
        <w:top w:val="none" w:sz="0" w:space="0" w:color="auto"/>
        <w:left w:val="none" w:sz="0" w:space="0" w:color="auto"/>
        <w:bottom w:val="none" w:sz="0" w:space="0" w:color="auto"/>
        <w:right w:val="none" w:sz="0" w:space="0" w:color="auto"/>
      </w:divBdr>
      <w:divsChild>
        <w:div w:id="350181946">
          <w:marLeft w:val="360"/>
          <w:marRight w:val="0"/>
          <w:marTop w:val="200"/>
          <w:marBottom w:val="0"/>
          <w:divBdr>
            <w:top w:val="none" w:sz="0" w:space="0" w:color="auto"/>
            <w:left w:val="none" w:sz="0" w:space="0" w:color="auto"/>
            <w:bottom w:val="none" w:sz="0" w:space="0" w:color="auto"/>
            <w:right w:val="none" w:sz="0" w:space="0" w:color="auto"/>
          </w:divBdr>
        </w:div>
        <w:div w:id="939333223">
          <w:marLeft w:val="1080"/>
          <w:marRight w:val="0"/>
          <w:marTop w:val="100"/>
          <w:marBottom w:val="0"/>
          <w:divBdr>
            <w:top w:val="none" w:sz="0" w:space="0" w:color="auto"/>
            <w:left w:val="none" w:sz="0" w:space="0" w:color="auto"/>
            <w:bottom w:val="none" w:sz="0" w:space="0" w:color="auto"/>
            <w:right w:val="none" w:sz="0" w:space="0" w:color="auto"/>
          </w:divBdr>
        </w:div>
        <w:div w:id="554125616">
          <w:marLeft w:val="1080"/>
          <w:marRight w:val="0"/>
          <w:marTop w:val="100"/>
          <w:marBottom w:val="0"/>
          <w:divBdr>
            <w:top w:val="none" w:sz="0" w:space="0" w:color="auto"/>
            <w:left w:val="none" w:sz="0" w:space="0" w:color="auto"/>
            <w:bottom w:val="none" w:sz="0" w:space="0" w:color="auto"/>
            <w:right w:val="none" w:sz="0" w:space="0" w:color="auto"/>
          </w:divBdr>
        </w:div>
        <w:div w:id="1463959817">
          <w:marLeft w:val="360"/>
          <w:marRight w:val="0"/>
          <w:marTop w:val="200"/>
          <w:marBottom w:val="0"/>
          <w:divBdr>
            <w:top w:val="none" w:sz="0" w:space="0" w:color="auto"/>
            <w:left w:val="none" w:sz="0" w:space="0" w:color="auto"/>
            <w:bottom w:val="none" w:sz="0" w:space="0" w:color="auto"/>
            <w:right w:val="none" w:sz="0" w:space="0" w:color="auto"/>
          </w:divBdr>
        </w:div>
        <w:div w:id="1833377189">
          <w:marLeft w:val="360"/>
          <w:marRight w:val="0"/>
          <w:marTop w:val="200"/>
          <w:marBottom w:val="0"/>
          <w:divBdr>
            <w:top w:val="none" w:sz="0" w:space="0" w:color="auto"/>
            <w:left w:val="none" w:sz="0" w:space="0" w:color="auto"/>
            <w:bottom w:val="none" w:sz="0" w:space="0" w:color="auto"/>
            <w:right w:val="none" w:sz="0" w:space="0" w:color="auto"/>
          </w:divBdr>
        </w:div>
        <w:div w:id="1112016338">
          <w:marLeft w:val="360"/>
          <w:marRight w:val="0"/>
          <w:marTop w:val="200"/>
          <w:marBottom w:val="0"/>
          <w:divBdr>
            <w:top w:val="none" w:sz="0" w:space="0" w:color="auto"/>
            <w:left w:val="none" w:sz="0" w:space="0" w:color="auto"/>
            <w:bottom w:val="none" w:sz="0" w:space="0" w:color="auto"/>
            <w:right w:val="none" w:sz="0" w:space="0" w:color="auto"/>
          </w:divBdr>
        </w:div>
        <w:div w:id="85158197">
          <w:marLeft w:val="1080"/>
          <w:marRight w:val="0"/>
          <w:marTop w:val="100"/>
          <w:marBottom w:val="0"/>
          <w:divBdr>
            <w:top w:val="none" w:sz="0" w:space="0" w:color="auto"/>
            <w:left w:val="none" w:sz="0" w:space="0" w:color="auto"/>
            <w:bottom w:val="none" w:sz="0" w:space="0" w:color="auto"/>
            <w:right w:val="none" w:sz="0" w:space="0" w:color="auto"/>
          </w:divBdr>
        </w:div>
        <w:div w:id="5249454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egatski@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sposito@tcu.edu" TargetMode="External"/><Relationship Id="rId5" Type="http://schemas.openxmlformats.org/officeDocument/2006/relationships/hyperlink" Target="https://fsn.tcu.edu/wp-content/uploads/2018/07/TeachEvalDoc05-1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Janis</dc:creator>
  <cp:keywords/>
  <dc:description/>
  <cp:lastModifiedBy>Quesada, Janis</cp:lastModifiedBy>
  <cp:revision>23</cp:revision>
  <cp:lastPrinted>2019-11-08T20:35:00Z</cp:lastPrinted>
  <dcterms:created xsi:type="dcterms:W3CDTF">2019-11-07T21:15:00Z</dcterms:created>
  <dcterms:modified xsi:type="dcterms:W3CDTF">2019-11-08T20:42:00Z</dcterms:modified>
</cp:coreProperties>
</file>