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BEA1B0" w14:textId="1F485675" w:rsidR="001773FC" w:rsidRPr="00281408" w:rsidRDefault="00802406">
      <w:pPr>
        <w:jc w:val="center"/>
        <w:outlineLvl w:val="0"/>
        <w:rPr>
          <w:b/>
          <w:bCs/>
          <w:sz w:val="22"/>
          <w:szCs w:val="22"/>
        </w:rPr>
      </w:pPr>
      <w:r>
        <w:rPr>
          <w:b/>
          <w:bCs/>
          <w:sz w:val="22"/>
          <w:szCs w:val="22"/>
        </w:rPr>
        <w:t xml:space="preserve">UNAPPROVED </w:t>
      </w:r>
      <w:r w:rsidR="004F78C8" w:rsidRPr="00281408">
        <w:rPr>
          <w:b/>
          <w:bCs/>
          <w:sz w:val="22"/>
          <w:szCs w:val="22"/>
        </w:rPr>
        <w:t>TCU Faculty Senate Meeting</w:t>
      </w:r>
    </w:p>
    <w:p w14:paraId="574DA731" w14:textId="6817133F" w:rsidR="001773FC" w:rsidRPr="00281408" w:rsidRDefault="00630F77">
      <w:pPr>
        <w:jc w:val="center"/>
        <w:outlineLvl w:val="0"/>
        <w:rPr>
          <w:b/>
          <w:bCs/>
          <w:sz w:val="22"/>
          <w:szCs w:val="22"/>
        </w:rPr>
      </w:pPr>
      <w:r>
        <w:rPr>
          <w:b/>
          <w:bCs/>
          <w:sz w:val="22"/>
          <w:szCs w:val="22"/>
        </w:rPr>
        <w:t>5 March</w:t>
      </w:r>
      <w:r w:rsidR="00BB7C7A">
        <w:rPr>
          <w:b/>
          <w:bCs/>
          <w:sz w:val="22"/>
          <w:szCs w:val="22"/>
        </w:rPr>
        <w:t xml:space="preserve"> 2020</w:t>
      </w:r>
    </w:p>
    <w:p w14:paraId="5913DCDD" w14:textId="77777777" w:rsidR="001773FC" w:rsidRPr="00281408" w:rsidRDefault="004F78C8">
      <w:pPr>
        <w:jc w:val="center"/>
        <w:outlineLvl w:val="0"/>
        <w:rPr>
          <w:b/>
          <w:bCs/>
          <w:sz w:val="22"/>
          <w:szCs w:val="22"/>
        </w:rPr>
      </w:pPr>
      <w:r w:rsidRPr="00281408">
        <w:rPr>
          <w:b/>
          <w:bCs/>
          <w:sz w:val="22"/>
          <w:szCs w:val="22"/>
        </w:rPr>
        <w:t>3:30 – 5:00 PM</w:t>
      </w:r>
    </w:p>
    <w:p w14:paraId="6A0CF0DC" w14:textId="77777777" w:rsidR="001773FC" w:rsidRPr="00281408" w:rsidRDefault="004F78C8">
      <w:pPr>
        <w:jc w:val="center"/>
        <w:outlineLvl w:val="0"/>
        <w:rPr>
          <w:b/>
          <w:bCs/>
          <w:sz w:val="22"/>
          <w:szCs w:val="22"/>
        </w:rPr>
      </w:pPr>
      <w:r w:rsidRPr="00281408">
        <w:rPr>
          <w:b/>
          <w:bCs/>
          <w:sz w:val="22"/>
          <w:szCs w:val="22"/>
        </w:rPr>
        <w:t>Faculty Senate Chambers</w:t>
      </w:r>
    </w:p>
    <w:p w14:paraId="0D811B51" w14:textId="77777777" w:rsidR="001773FC" w:rsidRPr="00281408" w:rsidRDefault="001773FC">
      <w:pPr>
        <w:jc w:val="center"/>
        <w:outlineLvl w:val="0"/>
        <w:rPr>
          <w:b/>
          <w:bCs/>
          <w:sz w:val="22"/>
          <w:szCs w:val="22"/>
        </w:rPr>
      </w:pPr>
    </w:p>
    <w:p w14:paraId="2D019B6A" w14:textId="77777777" w:rsidR="001773FC" w:rsidRPr="00281408" w:rsidRDefault="004F78C8">
      <w:pPr>
        <w:jc w:val="center"/>
        <w:outlineLvl w:val="0"/>
        <w:rPr>
          <w:b/>
          <w:bCs/>
          <w:sz w:val="22"/>
          <w:szCs w:val="22"/>
          <w:u w:val="single"/>
        </w:rPr>
      </w:pPr>
      <w:r w:rsidRPr="00281408">
        <w:rPr>
          <w:b/>
          <w:bCs/>
          <w:sz w:val="22"/>
          <w:szCs w:val="22"/>
          <w:u w:val="single"/>
        </w:rPr>
        <w:t>Minutes</w:t>
      </w:r>
    </w:p>
    <w:p w14:paraId="31B3F2B2" w14:textId="77777777" w:rsidR="001773FC" w:rsidRPr="00281408" w:rsidRDefault="001773FC">
      <w:pPr>
        <w:jc w:val="center"/>
        <w:outlineLvl w:val="0"/>
        <w:rPr>
          <w:b/>
          <w:bCs/>
          <w:sz w:val="22"/>
          <w:szCs w:val="22"/>
          <w:u w:val="single"/>
        </w:rPr>
      </w:pPr>
    </w:p>
    <w:p w14:paraId="7E7997A8" w14:textId="0C5031A6" w:rsidR="00B46530" w:rsidRPr="00281408" w:rsidRDefault="004F78C8" w:rsidP="00B46530">
      <w:pPr>
        <w:outlineLvl w:val="0"/>
        <w:rPr>
          <w:sz w:val="22"/>
          <w:szCs w:val="22"/>
        </w:rPr>
      </w:pPr>
      <w:r w:rsidRPr="00281408">
        <w:rPr>
          <w:b/>
          <w:bCs/>
          <w:sz w:val="22"/>
          <w:szCs w:val="22"/>
        </w:rPr>
        <w:t>Senators Present</w:t>
      </w:r>
      <w:r w:rsidR="00196279" w:rsidRPr="00281408">
        <w:rPr>
          <w:b/>
          <w:bCs/>
          <w:sz w:val="22"/>
          <w:szCs w:val="22"/>
        </w:rPr>
        <w:t xml:space="preserve">: </w:t>
      </w:r>
      <w:r w:rsidR="001E6800" w:rsidRPr="00281408">
        <w:rPr>
          <w:sz w:val="22"/>
          <w:szCs w:val="22"/>
        </w:rPr>
        <w:t>Atkinson, Sean;</w:t>
      </w:r>
      <w:r w:rsidR="001E6800">
        <w:rPr>
          <w:sz w:val="22"/>
          <w:szCs w:val="22"/>
        </w:rPr>
        <w:t xml:space="preserve"> </w:t>
      </w:r>
      <w:proofErr w:type="spellStart"/>
      <w:r w:rsidR="00F775A3">
        <w:rPr>
          <w:sz w:val="22"/>
          <w:szCs w:val="22"/>
        </w:rPr>
        <w:t>Banos</w:t>
      </w:r>
      <w:proofErr w:type="spellEnd"/>
      <w:r w:rsidR="00F775A3">
        <w:rPr>
          <w:sz w:val="22"/>
          <w:szCs w:val="22"/>
        </w:rPr>
        <w:t>, Antonio</w:t>
      </w:r>
      <w:r w:rsidR="00F775A3" w:rsidRPr="00211503">
        <w:rPr>
          <w:bCs/>
          <w:sz w:val="22"/>
          <w:szCs w:val="22"/>
        </w:rPr>
        <w:t>;</w:t>
      </w:r>
      <w:r w:rsidR="00F775A3" w:rsidRPr="007F6746">
        <w:rPr>
          <w:sz w:val="22"/>
          <w:szCs w:val="22"/>
        </w:rPr>
        <w:t xml:space="preserve"> </w:t>
      </w:r>
      <w:r w:rsidR="004E3144" w:rsidRPr="00281408">
        <w:rPr>
          <w:sz w:val="22"/>
          <w:szCs w:val="22"/>
        </w:rPr>
        <w:t>Barger, Kat;</w:t>
      </w:r>
      <w:r w:rsidR="0047369B">
        <w:rPr>
          <w:sz w:val="22"/>
          <w:szCs w:val="22"/>
        </w:rPr>
        <w:t xml:space="preserve"> </w:t>
      </w:r>
      <w:r w:rsidR="007F6746" w:rsidRPr="00281408">
        <w:rPr>
          <w:sz w:val="22"/>
          <w:szCs w:val="22"/>
        </w:rPr>
        <w:t xml:space="preserve">Bedford, David; </w:t>
      </w:r>
      <w:r w:rsidR="001E6800" w:rsidRPr="00281408">
        <w:rPr>
          <w:sz w:val="22"/>
          <w:szCs w:val="22"/>
        </w:rPr>
        <w:t>Bowen, Kendra;</w:t>
      </w:r>
      <w:r w:rsidR="001E6800">
        <w:rPr>
          <w:sz w:val="22"/>
          <w:szCs w:val="22"/>
        </w:rPr>
        <w:t xml:space="preserve"> </w:t>
      </w:r>
      <w:proofErr w:type="spellStart"/>
      <w:r w:rsidR="001E6800" w:rsidRPr="00281408">
        <w:rPr>
          <w:sz w:val="22"/>
          <w:szCs w:val="22"/>
        </w:rPr>
        <w:t>Busbey</w:t>
      </w:r>
      <w:proofErr w:type="spellEnd"/>
      <w:r w:rsidR="001E6800" w:rsidRPr="00281408">
        <w:rPr>
          <w:sz w:val="22"/>
          <w:szCs w:val="22"/>
        </w:rPr>
        <w:t>, Art;</w:t>
      </w:r>
      <w:r w:rsidR="0047369B" w:rsidRPr="0047369B">
        <w:rPr>
          <w:sz w:val="22"/>
          <w:szCs w:val="22"/>
        </w:rPr>
        <w:t xml:space="preserve"> </w:t>
      </w:r>
      <w:proofErr w:type="spellStart"/>
      <w:r w:rsidR="0047369B" w:rsidRPr="00281408">
        <w:rPr>
          <w:sz w:val="22"/>
          <w:szCs w:val="22"/>
        </w:rPr>
        <w:t>Carri</w:t>
      </w:r>
      <w:r w:rsidR="0047369B" w:rsidRPr="00281408">
        <w:rPr>
          <w:rFonts w:cs="Times New Roman"/>
          <w:sz w:val="22"/>
          <w:szCs w:val="22"/>
        </w:rPr>
        <w:t>ó</w:t>
      </w:r>
      <w:r w:rsidR="0047369B" w:rsidRPr="00281408">
        <w:rPr>
          <w:sz w:val="22"/>
          <w:szCs w:val="22"/>
        </w:rPr>
        <w:t>n</w:t>
      </w:r>
      <w:proofErr w:type="spellEnd"/>
      <w:r w:rsidR="0047369B" w:rsidRPr="00281408">
        <w:rPr>
          <w:sz w:val="22"/>
          <w:szCs w:val="22"/>
        </w:rPr>
        <w:t>, Jos</w:t>
      </w:r>
      <w:r w:rsidR="0047369B" w:rsidRPr="00281408">
        <w:rPr>
          <w:rFonts w:cs="Times New Roman"/>
          <w:sz w:val="22"/>
          <w:szCs w:val="22"/>
        </w:rPr>
        <w:t>é;</w:t>
      </w:r>
      <w:r w:rsidR="0047369B" w:rsidRPr="007F6746">
        <w:rPr>
          <w:sz w:val="22"/>
          <w:szCs w:val="22"/>
        </w:rPr>
        <w:t xml:space="preserve"> </w:t>
      </w:r>
      <w:r w:rsidR="007F6746">
        <w:rPr>
          <w:sz w:val="22"/>
          <w:szCs w:val="22"/>
        </w:rPr>
        <w:t>Carter, Suzanne;</w:t>
      </w:r>
      <w:r w:rsidR="00016F1A" w:rsidRPr="00281408">
        <w:rPr>
          <w:rFonts w:cs="Times New Roman"/>
          <w:sz w:val="22"/>
          <w:szCs w:val="22"/>
        </w:rPr>
        <w:t xml:space="preserve"> </w:t>
      </w:r>
      <w:r w:rsidR="00211503">
        <w:rPr>
          <w:rFonts w:cs="Times New Roman"/>
          <w:sz w:val="22"/>
          <w:szCs w:val="22"/>
        </w:rPr>
        <w:t xml:space="preserve">Craig, Layne; </w:t>
      </w:r>
      <w:r w:rsidR="000E3AF7">
        <w:rPr>
          <w:rFonts w:cs="Times New Roman"/>
          <w:sz w:val="22"/>
          <w:szCs w:val="22"/>
        </w:rPr>
        <w:t>Elwell, Sage;</w:t>
      </w:r>
      <w:r w:rsidR="00211503" w:rsidRPr="00281408">
        <w:rPr>
          <w:sz w:val="22"/>
          <w:szCs w:val="22"/>
        </w:rPr>
        <w:t xml:space="preserve"> </w:t>
      </w:r>
      <w:proofErr w:type="spellStart"/>
      <w:r w:rsidR="00677AF9" w:rsidRPr="00281408">
        <w:rPr>
          <w:sz w:val="22"/>
          <w:szCs w:val="22"/>
        </w:rPr>
        <w:t>Frable</w:t>
      </w:r>
      <w:proofErr w:type="spellEnd"/>
      <w:r w:rsidR="00677AF9" w:rsidRPr="00281408">
        <w:rPr>
          <w:sz w:val="22"/>
          <w:szCs w:val="22"/>
        </w:rPr>
        <w:t xml:space="preserve">, Pamela; </w:t>
      </w:r>
      <w:r w:rsidR="008D26E2" w:rsidRPr="00281408">
        <w:rPr>
          <w:sz w:val="22"/>
          <w:szCs w:val="22"/>
        </w:rPr>
        <w:t xml:space="preserve">Friedman, Greg; </w:t>
      </w:r>
      <w:proofErr w:type="spellStart"/>
      <w:r w:rsidR="00F775A3" w:rsidRPr="00281408">
        <w:rPr>
          <w:sz w:val="22"/>
          <w:szCs w:val="22"/>
        </w:rPr>
        <w:t>Fripp</w:t>
      </w:r>
      <w:proofErr w:type="spellEnd"/>
      <w:r w:rsidR="00F775A3" w:rsidRPr="00281408">
        <w:rPr>
          <w:sz w:val="22"/>
          <w:szCs w:val="22"/>
        </w:rPr>
        <w:t>, Jessica;</w:t>
      </w:r>
      <w:r w:rsidR="00F775A3">
        <w:rPr>
          <w:sz w:val="22"/>
          <w:szCs w:val="22"/>
        </w:rPr>
        <w:t xml:space="preserve"> </w:t>
      </w:r>
      <w:r w:rsidR="00016F1A" w:rsidRPr="00281408">
        <w:rPr>
          <w:sz w:val="22"/>
          <w:szCs w:val="22"/>
        </w:rPr>
        <w:t>G</w:t>
      </w:r>
      <w:r w:rsidR="00211503">
        <w:rPr>
          <w:sz w:val="22"/>
          <w:szCs w:val="22"/>
        </w:rPr>
        <w:t xml:space="preserve">il, Dan; </w:t>
      </w:r>
      <w:r w:rsidR="0047369B">
        <w:rPr>
          <w:sz w:val="22"/>
          <w:szCs w:val="22"/>
        </w:rPr>
        <w:t>Gonzales, Eric;</w:t>
      </w:r>
      <w:r w:rsidR="0047369B" w:rsidRPr="001E6800">
        <w:rPr>
          <w:rFonts w:cs="Times New Roman"/>
          <w:sz w:val="22"/>
          <w:szCs w:val="22"/>
        </w:rPr>
        <w:t xml:space="preserve"> </w:t>
      </w:r>
      <w:r w:rsidR="0047369B">
        <w:rPr>
          <w:rFonts w:cs="Times New Roman"/>
          <w:sz w:val="22"/>
          <w:szCs w:val="22"/>
        </w:rPr>
        <w:t xml:space="preserve">Harvey, Omar; </w:t>
      </w:r>
      <w:r w:rsidR="00016F1A" w:rsidRPr="00281408">
        <w:rPr>
          <w:sz w:val="22"/>
          <w:szCs w:val="22"/>
        </w:rPr>
        <w:t>Havens, Jill;</w:t>
      </w:r>
      <w:r w:rsidR="001E6800">
        <w:rPr>
          <w:sz w:val="22"/>
          <w:szCs w:val="22"/>
        </w:rPr>
        <w:t xml:space="preserve"> </w:t>
      </w:r>
      <w:r w:rsidR="001E6800" w:rsidRPr="00281408">
        <w:rPr>
          <w:sz w:val="22"/>
          <w:szCs w:val="22"/>
        </w:rPr>
        <w:t>Hawley, Diane;</w:t>
      </w:r>
      <w:r w:rsidR="00016F1A" w:rsidRPr="00281408">
        <w:rPr>
          <w:sz w:val="22"/>
          <w:szCs w:val="22"/>
        </w:rPr>
        <w:t xml:space="preserve"> </w:t>
      </w:r>
      <w:r w:rsidR="008D26E2" w:rsidRPr="00281408">
        <w:rPr>
          <w:sz w:val="22"/>
          <w:szCs w:val="22"/>
        </w:rPr>
        <w:t xml:space="preserve">Herzig, Emily; </w:t>
      </w:r>
      <w:proofErr w:type="spellStart"/>
      <w:r w:rsidR="0047369B">
        <w:rPr>
          <w:sz w:val="22"/>
          <w:szCs w:val="22"/>
        </w:rPr>
        <w:t>Hokayem</w:t>
      </w:r>
      <w:proofErr w:type="spellEnd"/>
      <w:r w:rsidR="0047369B">
        <w:rPr>
          <w:sz w:val="22"/>
          <w:szCs w:val="22"/>
        </w:rPr>
        <w:t xml:space="preserve">, Hayat; </w:t>
      </w:r>
      <w:r w:rsidR="0047369B" w:rsidRPr="00281408">
        <w:rPr>
          <w:sz w:val="22"/>
          <w:szCs w:val="22"/>
        </w:rPr>
        <w:t>Jackson,</w:t>
      </w:r>
      <w:r w:rsidR="0047369B">
        <w:rPr>
          <w:sz w:val="22"/>
          <w:szCs w:val="22"/>
        </w:rPr>
        <w:t xml:space="preserve"> D.</w:t>
      </w:r>
      <w:r w:rsidR="0047369B" w:rsidRPr="00281408">
        <w:rPr>
          <w:sz w:val="22"/>
          <w:szCs w:val="22"/>
        </w:rPr>
        <w:t xml:space="preserve"> Lynn;</w:t>
      </w:r>
      <w:r w:rsidR="0047369B">
        <w:rPr>
          <w:sz w:val="22"/>
          <w:szCs w:val="22"/>
        </w:rPr>
        <w:t xml:space="preserve"> </w:t>
      </w:r>
      <w:r w:rsidR="00630F77" w:rsidRPr="00281408">
        <w:rPr>
          <w:sz w:val="22"/>
          <w:szCs w:val="22"/>
        </w:rPr>
        <w:t>Johnson, Kevin</w:t>
      </w:r>
      <w:r w:rsidR="00630F77">
        <w:rPr>
          <w:sz w:val="22"/>
          <w:szCs w:val="22"/>
        </w:rPr>
        <w:t xml:space="preserve">; </w:t>
      </w:r>
      <w:r w:rsidR="003651DA" w:rsidRPr="00281408">
        <w:rPr>
          <w:sz w:val="22"/>
          <w:szCs w:val="22"/>
        </w:rPr>
        <w:t xml:space="preserve">Jones, Clark; </w:t>
      </w:r>
      <w:r w:rsidR="001E6800">
        <w:rPr>
          <w:sz w:val="22"/>
          <w:szCs w:val="22"/>
        </w:rPr>
        <w:t>Kim, San-</w:t>
      </w:r>
      <w:proofErr w:type="spellStart"/>
      <w:r w:rsidR="001E6800">
        <w:rPr>
          <w:sz w:val="22"/>
          <w:szCs w:val="22"/>
        </w:rPr>
        <w:t>ky</w:t>
      </w:r>
      <w:proofErr w:type="spellEnd"/>
      <w:r w:rsidR="001E6800">
        <w:rPr>
          <w:sz w:val="22"/>
          <w:szCs w:val="22"/>
        </w:rPr>
        <w:t xml:space="preserve">; </w:t>
      </w:r>
      <w:proofErr w:type="spellStart"/>
      <w:r w:rsidR="00CF38DB">
        <w:rPr>
          <w:sz w:val="22"/>
          <w:szCs w:val="22"/>
        </w:rPr>
        <w:t>Lauve</w:t>
      </w:r>
      <w:proofErr w:type="spellEnd"/>
      <w:r w:rsidR="00CF38DB">
        <w:rPr>
          <w:sz w:val="22"/>
          <w:szCs w:val="22"/>
        </w:rPr>
        <w:t xml:space="preserve">-Moon, Katie; </w:t>
      </w:r>
      <w:r w:rsidR="00B86C32" w:rsidRPr="00281408">
        <w:rPr>
          <w:sz w:val="22"/>
          <w:szCs w:val="22"/>
        </w:rPr>
        <w:t xml:space="preserve">Ledbetter, Andrew; </w:t>
      </w:r>
      <w:proofErr w:type="spellStart"/>
      <w:r w:rsidR="00B86C32" w:rsidRPr="00281408">
        <w:rPr>
          <w:sz w:val="22"/>
          <w:szCs w:val="22"/>
        </w:rPr>
        <w:t>Ledis</w:t>
      </w:r>
      <w:proofErr w:type="spellEnd"/>
      <w:r w:rsidR="00B86C32" w:rsidRPr="00281408">
        <w:rPr>
          <w:sz w:val="22"/>
          <w:szCs w:val="22"/>
        </w:rPr>
        <w:t>, Dennis;</w:t>
      </w:r>
      <w:r w:rsidR="008D26E2" w:rsidRPr="00281408">
        <w:rPr>
          <w:sz w:val="22"/>
          <w:szCs w:val="22"/>
        </w:rPr>
        <w:t xml:space="preserve"> </w:t>
      </w:r>
      <w:proofErr w:type="spellStart"/>
      <w:r w:rsidR="00016F1A" w:rsidRPr="00281408">
        <w:rPr>
          <w:sz w:val="22"/>
          <w:szCs w:val="22"/>
        </w:rPr>
        <w:t>Legatski</w:t>
      </w:r>
      <w:proofErr w:type="spellEnd"/>
      <w:r w:rsidR="00016F1A" w:rsidRPr="00281408">
        <w:rPr>
          <w:sz w:val="22"/>
          <w:szCs w:val="22"/>
        </w:rPr>
        <w:t>, Ted;</w:t>
      </w:r>
      <w:r w:rsidR="00747337" w:rsidRPr="00281408">
        <w:rPr>
          <w:sz w:val="22"/>
          <w:szCs w:val="22"/>
        </w:rPr>
        <w:t xml:space="preserve"> </w:t>
      </w:r>
      <w:r w:rsidR="001E6800">
        <w:rPr>
          <w:sz w:val="22"/>
          <w:szCs w:val="22"/>
        </w:rPr>
        <w:t xml:space="preserve">Lemon, Alex; </w:t>
      </w:r>
      <w:r w:rsidR="009F096E" w:rsidRPr="00281408">
        <w:rPr>
          <w:sz w:val="22"/>
          <w:szCs w:val="22"/>
        </w:rPr>
        <w:t>Lynch, Laurel;</w:t>
      </w:r>
      <w:r w:rsidR="00AF0CBE" w:rsidRPr="00281408">
        <w:rPr>
          <w:sz w:val="22"/>
          <w:szCs w:val="22"/>
        </w:rPr>
        <w:t xml:space="preserve"> </w:t>
      </w:r>
      <w:proofErr w:type="spellStart"/>
      <w:r w:rsidR="00211503" w:rsidRPr="00281408">
        <w:rPr>
          <w:sz w:val="22"/>
          <w:szCs w:val="22"/>
        </w:rPr>
        <w:t>Meitl</w:t>
      </w:r>
      <w:proofErr w:type="spellEnd"/>
      <w:r w:rsidR="00211503" w:rsidRPr="00281408">
        <w:rPr>
          <w:sz w:val="22"/>
          <w:szCs w:val="22"/>
        </w:rPr>
        <w:t>, Michele;</w:t>
      </w:r>
      <w:r w:rsidR="003651DA" w:rsidRPr="00281408">
        <w:rPr>
          <w:sz w:val="22"/>
          <w:szCs w:val="22"/>
        </w:rPr>
        <w:t xml:space="preserve"> </w:t>
      </w:r>
      <w:r w:rsidR="000E3AF7" w:rsidRPr="00281408">
        <w:rPr>
          <w:sz w:val="22"/>
          <w:szCs w:val="22"/>
        </w:rPr>
        <w:t>Moore, Jeff;</w:t>
      </w:r>
      <w:r w:rsidR="007F6746" w:rsidRPr="007F6746">
        <w:rPr>
          <w:sz w:val="22"/>
          <w:szCs w:val="22"/>
        </w:rPr>
        <w:t xml:space="preserve"> </w:t>
      </w:r>
      <w:r w:rsidR="007F6746">
        <w:rPr>
          <w:sz w:val="22"/>
          <w:szCs w:val="22"/>
        </w:rPr>
        <w:t xml:space="preserve">Murray, </w:t>
      </w:r>
      <w:proofErr w:type="spellStart"/>
      <w:r w:rsidR="007F6746">
        <w:rPr>
          <w:sz w:val="22"/>
          <w:szCs w:val="22"/>
        </w:rPr>
        <w:t>Joddy</w:t>
      </w:r>
      <w:proofErr w:type="spellEnd"/>
      <w:r w:rsidR="007F6746">
        <w:rPr>
          <w:sz w:val="22"/>
          <w:szCs w:val="22"/>
        </w:rPr>
        <w:t>;</w:t>
      </w:r>
      <w:r w:rsidR="000E3AF7" w:rsidRPr="00281408">
        <w:rPr>
          <w:sz w:val="22"/>
          <w:szCs w:val="22"/>
        </w:rPr>
        <w:t xml:space="preserve"> </w:t>
      </w:r>
      <w:proofErr w:type="spellStart"/>
      <w:r w:rsidR="00211503">
        <w:rPr>
          <w:sz w:val="22"/>
          <w:szCs w:val="22"/>
        </w:rPr>
        <w:t>Nhan</w:t>
      </w:r>
      <w:proofErr w:type="spellEnd"/>
      <w:r w:rsidR="00211503">
        <w:rPr>
          <w:sz w:val="22"/>
          <w:szCs w:val="22"/>
        </w:rPr>
        <w:t xml:space="preserve">, Johnny; </w:t>
      </w:r>
      <w:r w:rsidR="00CF38DB">
        <w:rPr>
          <w:sz w:val="22"/>
          <w:szCs w:val="22"/>
        </w:rPr>
        <w:t xml:space="preserve">Nugent, </w:t>
      </w:r>
      <w:proofErr w:type="spellStart"/>
      <w:r w:rsidR="00CF38DB">
        <w:rPr>
          <w:sz w:val="22"/>
          <w:szCs w:val="22"/>
        </w:rPr>
        <w:t>Hylda</w:t>
      </w:r>
      <w:proofErr w:type="spellEnd"/>
      <w:r w:rsidR="00CF38DB">
        <w:rPr>
          <w:sz w:val="22"/>
          <w:szCs w:val="22"/>
        </w:rPr>
        <w:t xml:space="preserve">; </w:t>
      </w:r>
      <w:r w:rsidR="008D26E2" w:rsidRPr="00281408">
        <w:rPr>
          <w:sz w:val="22"/>
          <w:szCs w:val="22"/>
        </w:rPr>
        <w:t>Quesada, Jan;</w:t>
      </w:r>
      <w:r w:rsidR="00F25FB4" w:rsidRPr="00281408">
        <w:rPr>
          <w:sz w:val="22"/>
          <w:szCs w:val="22"/>
        </w:rPr>
        <w:t xml:space="preserve"> </w:t>
      </w:r>
      <w:proofErr w:type="spellStart"/>
      <w:r w:rsidR="001E6800" w:rsidRPr="00281408">
        <w:rPr>
          <w:sz w:val="22"/>
          <w:szCs w:val="22"/>
        </w:rPr>
        <w:t>Ramasesh</w:t>
      </w:r>
      <w:proofErr w:type="spellEnd"/>
      <w:r w:rsidR="001E6800" w:rsidRPr="00281408">
        <w:rPr>
          <w:sz w:val="22"/>
          <w:szCs w:val="22"/>
        </w:rPr>
        <w:t xml:space="preserve">, </w:t>
      </w:r>
      <w:proofErr w:type="spellStart"/>
      <w:r w:rsidR="001E6800" w:rsidRPr="00281408">
        <w:rPr>
          <w:sz w:val="22"/>
          <w:szCs w:val="22"/>
        </w:rPr>
        <w:t>Ranga</w:t>
      </w:r>
      <w:proofErr w:type="spellEnd"/>
      <w:r w:rsidR="001E6800">
        <w:rPr>
          <w:sz w:val="22"/>
          <w:szCs w:val="22"/>
        </w:rPr>
        <w:t xml:space="preserve">; </w:t>
      </w:r>
      <w:proofErr w:type="spellStart"/>
      <w:r w:rsidR="0047369B" w:rsidRPr="00281408">
        <w:rPr>
          <w:sz w:val="22"/>
          <w:szCs w:val="22"/>
        </w:rPr>
        <w:t>Sawey</w:t>
      </w:r>
      <w:proofErr w:type="spellEnd"/>
      <w:r w:rsidR="0047369B" w:rsidRPr="00281408">
        <w:rPr>
          <w:sz w:val="22"/>
          <w:szCs w:val="22"/>
        </w:rPr>
        <w:t xml:space="preserve">, Michael; </w:t>
      </w:r>
      <w:r w:rsidR="00211503">
        <w:rPr>
          <w:sz w:val="22"/>
          <w:szCs w:val="22"/>
        </w:rPr>
        <w:t xml:space="preserve">Sawyer, Chris; </w:t>
      </w:r>
      <w:r w:rsidR="004B3392" w:rsidRPr="00281408">
        <w:rPr>
          <w:sz w:val="22"/>
          <w:szCs w:val="22"/>
        </w:rPr>
        <w:t xml:space="preserve">Schein, Marie; </w:t>
      </w:r>
      <w:proofErr w:type="spellStart"/>
      <w:r w:rsidR="008D26E2" w:rsidRPr="00281408">
        <w:rPr>
          <w:sz w:val="22"/>
          <w:szCs w:val="22"/>
        </w:rPr>
        <w:t>Scherger</w:t>
      </w:r>
      <w:proofErr w:type="spellEnd"/>
      <w:r w:rsidR="008D26E2" w:rsidRPr="00281408">
        <w:rPr>
          <w:sz w:val="22"/>
          <w:szCs w:val="22"/>
        </w:rPr>
        <w:t xml:space="preserve">, Michael; </w:t>
      </w:r>
      <w:r w:rsidR="004B3392">
        <w:rPr>
          <w:sz w:val="22"/>
          <w:szCs w:val="22"/>
        </w:rPr>
        <w:t xml:space="preserve">Schiffer, Adam; </w:t>
      </w:r>
      <w:r w:rsidR="000A6520" w:rsidRPr="00281408">
        <w:rPr>
          <w:sz w:val="22"/>
          <w:szCs w:val="22"/>
        </w:rPr>
        <w:t>Scott, Krista;</w:t>
      </w:r>
      <w:r w:rsidR="0047369B">
        <w:rPr>
          <w:sz w:val="22"/>
          <w:szCs w:val="22"/>
        </w:rPr>
        <w:t xml:space="preserve"> Singletary, Laura; </w:t>
      </w:r>
      <w:r w:rsidR="00AF0CBE" w:rsidRPr="00281408">
        <w:rPr>
          <w:sz w:val="22"/>
          <w:szCs w:val="22"/>
        </w:rPr>
        <w:t>Stephens, Greg;</w:t>
      </w:r>
      <w:r w:rsidR="00F775A3">
        <w:rPr>
          <w:sz w:val="22"/>
          <w:szCs w:val="22"/>
        </w:rPr>
        <w:t xml:space="preserve"> Stewart, Alyssa;</w:t>
      </w:r>
      <w:r w:rsidR="00AF0CBE" w:rsidRPr="00281408">
        <w:rPr>
          <w:sz w:val="22"/>
          <w:szCs w:val="22"/>
        </w:rPr>
        <w:t xml:space="preserve"> </w:t>
      </w:r>
      <w:r w:rsidR="004B3392">
        <w:rPr>
          <w:sz w:val="22"/>
          <w:szCs w:val="22"/>
        </w:rPr>
        <w:t xml:space="preserve">Tyler, Tee; </w:t>
      </w:r>
      <w:r w:rsidR="00F775A3">
        <w:rPr>
          <w:sz w:val="22"/>
          <w:szCs w:val="22"/>
        </w:rPr>
        <w:t xml:space="preserve">Walters, Patricia; </w:t>
      </w:r>
      <w:r w:rsidR="00EC7A1C" w:rsidRPr="00281408">
        <w:rPr>
          <w:sz w:val="22"/>
          <w:szCs w:val="22"/>
        </w:rPr>
        <w:t xml:space="preserve">Watkins, Timothy; </w:t>
      </w:r>
      <w:r w:rsidR="00B46530" w:rsidRPr="00281408">
        <w:rPr>
          <w:sz w:val="22"/>
          <w:szCs w:val="22"/>
        </w:rPr>
        <w:t>Williams, Daniel;</w:t>
      </w:r>
      <w:r w:rsidR="00BD62FD" w:rsidRPr="00BD62FD">
        <w:rPr>
          <w:sz w:val="22"/>
          <w:szCs w:val="22"/>
        </w:rPr>
        <w:t xml:space="preserve"> </w:t>
      </w:r>
      <w:r w:rsidR="00BD62FD" w:rsidRPr="00281408">
        <w:rPr>
          <w:sz w:val="22"/>
          <w:szCs w:val="22"/>
        </w:rPr>
        <w:t>Wood, Barbara</w:t>
      </w:r>
      <w:r w:rsidR="004B3392">
        <w:rPr>
          <w:sz w:val="22"/>
          <w:szCs w:val="22"/>
        </w:rPr>
        <w:t xml:space="preserve">; Yang, </w:t>
      </w:r>
      <w:proofErr w:type="spellStart"/>
      <w:r w:rsidR="004B3392">
        <w:rPr>
          <w:sz w:val="22"/>
          <w:szCs w:val="22"/>
        </w:rPr>
        <w:t>Qinghua</w:t>
      </w:r>
      <w:proofErr w:type="spellEnd"/>
    </w:p>
    <w:p w14:paraId="261F76D5" w14:textId="70336369" w:rsidR="008D26E2" w:rsidRPr="00281408" w:rsidRDefault="008D26E2" w:rsidP="00D22188">
      <w:pPr>
        <w:outlineLvl w:val="0"/>
        <w:rPr>
          <w:sz w:val="22"/>
          <w:szCs w:val="22"/>
        </w:rPr>
      </w:pPr>
    </w:p>
    <w:p w14:paraId="73905701" w14:textId="7C506417" w:rsidR="001773FC" w:rsidRPr="00281408" w:rsidRDefault="00DD6C18" w:rsidP="00AF0CBE">
      <w:pPr>
        <w:outlineLvl w:val="0"/>
        <w:rPr>
          <w:sz w:val="22"/>
          <w:szCs w:val="22"/>
        </w:rPr>
      </w:pPr>
      <w:r w:rsidRPr="00281408">
        <w:rPr>
          <w:b/>
          <w:bCs/>
          <w:sz w:val="22"/>
          <w:szCs w:val="22"/>
        </w:rPr>
        <w:t>S</w:t>
      </w:r>
      <w:r w:rsidR="004F78C8" w:rsidRPr="00281408">
        <w:rPr>
          <w:b/>
          <w:bCs/>
          <w:sz w:val="22"/>
          <w:szCs w:val="22"/>
        </w:rPr>
        <w:t>enators Excused</w:t>
      </w:r>
      <w:r w:rsidR="00196279" w:rsidRPr="00281408">
        <w:rPr>
          <w:b/>
          <w:bCs/>
          <w:sz w:val="22"/>
          <w:szCs w:val="22"/>
        </w:rPr>
        <w:t>:</w:t>
      </w:r>
      <w:r w:rsidR="00747337" w:rsidRPr="00281408">
        <w:rPr>
          <w:sz w:val="22"/>
          <w:szCs w:val="22"/>
        </w:rPr>
        <w:t xml:space="preserve"> </w:t>
      </w:r>
      <w:proofErr w:type="spellStart"/>
      <w:r w:rsidR="00F775A3" w:rsidRPr="00281408">
        <w:rPr>
          <w:sz w:val="22"/>
          <w:szCs w:val="22"/>
        </w:rPr>
        <w:t>Bashore</w:t>
      </w:r>
      <w:proofErr w:type="spellEnd"/>
      <w:r w:rsidR="00F775A3" w:rsidRPr="00281408">
        <w:rPr>
          <w:sz w:val="22"/>
          <w:szCs w:val="22"/>
        </w:rPr>
        <w:t>, Lisa;</w:t>
      </w:r>
      <w:r w:rsidR="00F775A3">
        <w:rPr>
          <w:sz w:val="22"/>
          <w:szCs w:val="22"/>
        </w:rPr>
        <w:t xml:space="preserve"> </w:t>
      </w:r>
      <w:r w:rsidR="00630F77">
        <w:rPr>
          <w:sz w:val="22"/>
          <w:szCs w:val="22"/>
        </w:rPr>
        <w:t xml:space="preserve">Bentley, Joshua; </w:t>
      </w:r>
      <w:r w:rsidR="00F775A3" w:rsidRPr="00281408">
        <w:rPr>
          <w:sz w:val="22"/>
          <w:szCs w:val="22"/>
        </w:rPr>
        <w:t xml:space="preserve">Esposito, Phil; </w:t>
      </w:r>
      <w:r w:rsidR="00630F77">
        <w:rPr>
          <w:sz w:val="22"/>
          <w:szCs w:val="22"/>
        </w:rPr>
        <w:t>Jeffries, Marlo</w:t>
      </w:r>
      <w:r w:rsidR="00F775A3">
        <w:rPr>
          <w:sz w:val="22"/>
          <w:szCs w:val="22"/>
        </w:rPr>
        <w:t xml:space="preserve">; </w:t>
      </w:r>
      <w:r w:rsidR="00F775A3" w:rsidRPr="00281408">
        <w:rPr>
          <w:sz w:val="22"/>
          <w:szCs w:val="22"/>
        </w:rPr>
        <w:t>Lovett, John;</w:t>
      </w:r>
      <w:r w:rsidR="00F775A3">
        <w:rPr>
          <w:sz w:val="22"/>
          <w:szCs w:val="22"/>
        </w:rPr>
        <w:t xml:space="preserve"> </w:t>
      </w:r>
      <w:proofErr w:type="spellStart"/>
      <w:r w:rsidR="00F775A3" w:rsidRPr="00281408">
        <w:rPr>
          <w:sz w:val="22"/>
          <w:szCs w:val="22"/>
        </w:rPr>
        <w:t>Meyn</w:t>
      </w:r>
      <w:proofErr w:type="spellEnd"/>
      <w:r w:rsidR="00F775A3" w:rsidRPr="00281408">
        <w:rPr>
          <w:sz w:val="22"/>
          <w:szCs w:val="22"/>
        </w:rPr>
        <w:t>, Till; Moeller, Thomas;</w:t>
      </w:r>
      <w:r w:rsidR="00F775A3" w:rsidRPr="00F775A3">
        <w:rPr>
          <w:sz w:val="22"/>
          <w:szCs w:val="22"/>
        </w:rPr>
        <w:t xml:space="preserve"> </w:t>
      </w:r>
      <w:r w:rsidR="00F775A3">
        <w:rPr>
          <w:sz w:val="22"/>
          <w:szCs w:val="22"/>
        </w:rPr>
        <w:t>Quinn, Brandy;</w:t>
      </w:r>
      <w:r w:rsidR="00F775A3" w:rsidRPr="00F775A3">
        <w:rPr>
          <w:sz w:val="22"/>
          <w:szCs w:val="22"/>
        </w:rPr>
        <w:t xml:space="preserve"> </w:t>
      </w:r>
      <w:r w:rsidR="00F775A3">
        <w:rPr>
          <w:sz w:val="22"/>
          <w:szCs w:val="22"/>
        </w:rPr>
        <w:t>Stewart, Amy</w:t>
      </w:r>
    </w:p>
    <w:p w14:paraId="251E2947" w14:textId="77777777" w:rsidR="00F25FB4" w:rsidRPr="00281408" w:rsidRDefault="00F25FB4">
      <w:pPr>
        <w:outlineLvl w:val="0"/>
        <w:rPr>
          <w:sz w:val="22"/>
          <w:szCs w:val="22"/>
        </w:rPr>
      </w:pPr>
    </w:p>
    <w:p w14:paraId="4654392B" w14:textId="726D2885" w:rsidR="0047369B" w:rsidRPr="00281408" w:rsidRDefault="00A1788C" w:rsidP="0047369B">
      <w:pPr>
        <w:outlineLvl w:val="0"/>
        <w:rPr>
          <w:sz w:val="22"/>
          <w:szCs w:val="22"/>
        </w:rPr>
      </w:pPr>
      <w:r w:rsidRPr="00281408">
        <w:rPr>
          <w:b/>
          <w:bCs/>
          <w:sz w:val="22"/>
          <w:szCs w:val="22"/>
        </w:rPr>
        <w:t>S</w:t>
      </w:r>
      <w:r w:rsidR="004F78C8" w:rsidRPr="00281408">
        <w:rPr>
          <w:b/>
          <w:bCs/>
          <w:sz w:val="22"/>
          <w:szCs w:val="22"/>
        </w:rPr>
        <w:t>enators Absent</w:t>
      </w:r>
      <w:r w:rsidR="00196279" w:rsidRPr="00281408">
        <w:rPr>
          <w:b/>
          <w:bCs/>
          <w:sz w:val="22"/>
          <w:szCs w:val="22"/>
        </w:rPr>
        <w:t>:</w:t>
      </w:r>
      <w:r w:rsidR="00CF38DB">
        <w:rPr>
          <w:b/>
          <w:bCs/>
          <w:sz w:val="22"/>
          <w:szCs w:val="22"/>
        </w:rPr>
        <w:t xml:space="preserve"> </w:t>
      </w:r>
      <w:r w:rsidR="00F775A3">
        <w:rPr>
          <w:sz w:val="22"/>
          <w:szCs w:val="22"/>
        </w:rPr>
        <w:t>Hammad, Hanan (</w:t>
      </w:r>
      <w:proofErr w:type="spellStart"/>
      <w:r w:rsidR="00F775A3">
        <w:rPr>
          <w:sz w:val="22"/>
          <w:szCs w:val="22"/>
        </w:rPr>
        <w:t>AddRan</w:t>
      </w:r>
      <w:proofErr w:type="spellEnd"/>
      <w:r w:rsidR="00F775A3">
        <w:rPr>
          <w:sz w:val="22"/>
          <w:szCs w:val="22"/>
        </w:rPr>
        <w:t xml:space="preserve">); </w:t>
      </w:r>
      <w:proofErr w:type="spellStart"/>
      <w:r w:rsidR="00F775A3" w:rsidRPr="00281408">
        <w:rPr>
          <w:sz w:val="22"/>
          <w:szCs w:val="22"/>
        </w:rPr>
        <w:t>Ho</w:t>
      </w:r>
      <w:r w:rsidR="00F775A3">
        <w:rPr>
          <w:sz w:val="22"/>
          <w:szCs w:val="22"/>
        </w:rPr>
        <w:t>sainy</w:t>
      </w:r>
      <w:proofErr w:type="spellEnd"/>
      <w:r w:rsidR="00F775A3">
        <w:rPr>
          <w:sz w:val="22"/>
          <w:szCs w:val="22"/>
        </w:rPr>
        <w:t xml:space="preserve">, </w:t>
      </w:r>
      <w:proofErr w:type="spellStart"/>
      <w:r w:rsidR="00F775A3">
        <w:rPr>
          <w:sz w:val="22"/>
          <w:szCs w:val="22"/>
        </w:rPr>
        <w:t>Hadi</w:t>
      </w:r>
      <w:proofErr w:type="spellEnd"/>
      <w:r w:rsidR="00F775A3">
        <w:rPr>
          <w:sz w:val="22"/>
          <w:szCs w:val="22"/>
        </w:rPr>
        <w:t xml:space="preserve"> (</w:t>
      </w:r>
      <w:proofErr w:type="spellStart"/>
      <w:r w:rsidR="00F775A3">
        <w:rPr>
          <w:sz w:val="22"/>
          <w:szCs w:val="22"/>
        </w:rPr>
        <w:t>AddRan</w:t>
      </w:r>
      <w:proofErr w:type="spellEnd"/>
      <w:r w:rsidR="00F775A3">
        <w:rPr>
          <w:sz w:val="22"/>
          <w:szCs w:val="22"/>
        </w:rPr>
        <w:t xml:space="preserve">); </w:t>
      </w:r>
      <w:proofErr w:type="spellStart"/>
      <w:r w:rsidR="00F775A3" w:rsidRPr="00281408">
        <w:rPr>
          <w:sz w:val="22"/>
          <w:szCs w:val="22"/>
        </w:rPr>
        <w:t>Marichal</w:t>
      </w:r>
      <w:proofErr w:type="spellEnd"/>
      <w:r w:rsidR="00F775A3" w:rsidRPr="00281408">
        <w:rPr>
          <w:sz w:val="22"/>
          <w:szCs w:val="22"/>
        </w:rPr>
        <w:t>, Albert</w:t>
      </w:r>
      <w:r w:rsidR="00F775A3">
        <w:rPr>
          <w:sz w:val="22"/>
          <w:szCs w:val="22"/>
        </w:rPr>
        <w:t xml:space="preserve"> (Fine Arts)</w:t>
      </w:r>
      <w:r w:rsidR="00F775A3" w:rsidRPr="00281408">
        <w:rPr>
          <w:sz w:val="22"/>
          <w:szCs w:val="22"/>
        </w:rPr>
        <w:t xml:space="preserve">; </w:t>
      </w:r>
      <w:r w:rsidR="0047369B">
        <w:rPr>
          <w:sz w:val="22"/>
          <w:szCs w:val="22"/>
        </w:rPr>
        <w:t xml:space="preserve">McGettigan, Joan (Schieffer); </w:t>
      </w:r>
      <w:r w:rsidR="00630F77" w:rsidRPr="00281408">
        <w:rPr>
          <w:sz w:val="22"/>
          <w:szCs w:val="22"/>
        </w:rPr>
        <w:t>Nelson, Karen</w:t>
      </w:r>
      <w:r w:rsidR="00630F77">
        <w:rPr>
          <w:sz w:val="22"/>
          <w:szCs w:val="22"/>
        </w:rPr>
        <w:t xml:space="preserve"> (Neeley)</w:t>
      </w:r>
      <w:r w:rsidR="00630F77" w:rsidRPr="00281408">
        <w:rPr>
          <w:sz w:val="22"/>
          <w:szCs w:val="22"/>
        </w:rPr>
        <w:t>;</w:t>
      </w:r>
      <w:r w:rsidR="00630F77">
        <w:rPr>
          <w:sz w:val="22"/>
          <w:szCs w:val="22"/>
        </w:rPr>
        <w:t xml:space="preserve"> </w:t>
      </w:r>
      <w:r w:rsidR="001E6800">
        <w:rPr>
          <w:sz w:val="22"/>
          <w:szCs w:val="22"/>
        </w:rPr>
        <w:t>Palko, Steve (Education)</w:t>
      </w:r>
      <w:r w:rsidR="0047369B">
        <w:rPr>
          <w:sz w:val="22"/>
          <w:szCs w:val="22"/>
        </w:rPr>
        <w:t xml:space="preserve">; </w:t>
      </w:r>
      <w:proofErr w:type="spellStart"/>
      <w:r w:rsidR="00392973">
        <w:rPr>
          <w:sz w:val="22"/>
          <w:szCs w:val="22"/>
        </w:rPr>
        <w:t>Pi</w:t>
      </w:r>
      <w:r w:rsidR="00392973">
        <w:rPr>
          <w:rFonts w:cs="Times New Roman"/>
          <w:sz w:val="22"/>
          <w:szCs w:val="22"/>
        </w:rPr>
        <w:t>ñó</w:t>
      </w:r>
      <w:r w:rsidR="00392973">
        <w:rPr>
          <w:sz w:val="22"/>
          <w:szCs w:val="22"/>
        </w:rPr>
        <w:t>n</w:t>
      </w:r>
      <w:proofErr w:type="spellEnd"/>
      <w:r w:rsidR="00392973">
        <w:rPr>
          <w:sz w:val="22"/>
          <w:szCs w:val="22"/>
        </w:rPr>
        <w:t>, Santiago (</w:t>
      </w:r>
      <w:proofErr w:type="spellStart"/>
      <w:r w:rsidR="00392973">
        <w:rPr>
          <w:sz w:val="22"/>
          <w:szCs w:val="22"/>
        </w:rPr>
        <w:t>AddRan</w:t>
      </w:r>
      <w:proofErr w:type="spellEnd"/>
      <w:r w:rsidR="00392973">
        <w:rPr>
          <w:sz w:val="22"/>
          <w:szCs w:val="22"/>
        </w:rPr>
        <w:t xml:space="preserve">); </w:t>
      </w:r>
      <w:r w:rsidR="0047369B" w:rsidRPr="00281408">
        <w:rPr>
          <w:sz w:val="22"/>
          <w:szCs w:val="22"/>
        </w:rPr>
        <w:t>S</w:t>
      </w:r>
      <w:r w:rsidR="00F775A3">
        <w:rPr>
          <w:sz w:val="22"/>
          <w:szCs w:val="22"/>
        </w:rPr>
        <w:t>imanek, Eric (CSE)</w:t>
      </w:r>
      <w:r w:rsidR="0047369B">
        <w:rPr>
          <w:sz w:val="22"/>
          <w:szCs w:val="22"/>
        </w:rPr>
        <w:t xml:space="preserve"> </w:t>
      </w:r>
    </w:p>
    <w:p w14:paraId="63A58559" w14:textId="77777777" w:rsidR="00AF0CBE" w:rsidRPr="00281408" w:rsidRDefault="00AF0CBE">
      <w:pPr>
        <w:outlineLvl w:val="0"/>
        <w:rPr>
          <w:sz w:val="22"/>
          <w:szCs w:val="22"/>
        </w:rPr>
      </w:pPr>
    </w:p>
    <w:p w14:paraId="1FC665A5" w14:textId="723A918E" w:rsidR="00A60C68" w:rsidRPr="00281408" w:rsidRDefault="004F78C8">
      <w:pPr>
        <w:pStyle w:val="Body1"/>
        <w:spacing w:after="200"/>
        <w:rPr>
          <w:sz w:val="22"/>
          <w:szCs w:val="22"/>
        </w:rPr>
      </w:pPr>
      <w:r w:rsidRPr="00281408">
        <w:rPr>
          <w:b/>
          <w:bCs/>
          <w:sz w:val="22"/>
          <w:szCs w:val="22"/>
        </w:rPr>
        <w:t>Guests Present</w:t>
      </w:r>
      <w:r w:rsidR="00196279" w:rsidRPr="00281408">
        <w:rPr>
          <w:b/>
          <w:bCs/>
          <w:sz w:val="22"/>
          <w:szCs w:val="22"/>
        </w:rPr>
        <w:t>:</w:t>
      </w:r>
      <w:r w:rsidR="00196279" w:rsidRPr="00281408">
        <w:rPr>
          <w:bCs/>
          <w:sz w:val="22"/>
          <w:szCs w:val="22"/>
        </w:rPr>
        <w:t xml:space="preserve"> </w:t>
      </w:r>
      <w:proofErr w:type="spellStart"/>
      <w:r w:rsidR="005F7147">
        <w:rPr>
          <w:bCs/>
          <w:sz w:val="22"/>
          <w:szCs w:val="22"/>
        </w:rPr>
        <w:t>Yohna</w:t>
      </w:r>
      <w:proofErr w:type="spellEnd"/>
      <w:r w:rsidR="005F7147">
        <w:rPr>
          <w:bCs/>
          <w:sz w:val="22"/>
          <w:szCs w:val="22"/>
        </w:rPr>
        <w:t xml:space="preserve"> Chambers (VC-HR); </w:t>
      </w:r>
      <w:r w:rsidR="00CF38DB">
        <w:rPr>
          <w:sz w:val="22"/>
          <w:szCs w:val="22"/>
        </w:rPr>
        <w:t>Claire A. Sanders (DEI Faculty Fellow/History);</w:t>
      </w:r>
      <w:r w:rsidR="005F7147">
        <w:rPr>
          <w:sz w:val="22"/>
          <w:szCs w:val="22"/>
        </w:rPr>
        <w:t xml:space="preserve"> </w:t>
      </w:r>
      <w:r w:rsidR="005A7A38">
        <w:rPr>
          <w:sz w:val="22"/>
          <w:szCs w:val="22"/>
        </w:rPr>
        <w:t>Teresa Abi-Nader Dahlberg (Provost); Susan Weeks (Assoc. Provost)</w:t>
      </w:r>
      <w:r w:rsidR="00F775A3">
        <w:rPr>
          <w:sz w:val="22"/>
          <w:szCs w:val="22"/>
        </w:rPr>
        <w:t xml:space="preserve">; Floyd </w:t>
      </w:r>
      <w:proofErr w:type="spellStart"/>
      <w:r w:rsidR="00F775A3">
        <w:rPr>
          <w:sz w:val="22"/>
          <w:szCs w:val="22"/>
        </w:rPr>
        <w:t>Wormley</w:t>
      </w:r>
      <w:proofErr w:type="spellEnd"/>
      <w:r w:rsidR="00F775A3">
        <w:rPr>
          <w:sz w:val="22"/>
          <w:szCs w:val="22"/>
        </w:rPr>
        <w:t xml:space="preserve"> (VP, Dean of Grad Studies); Mica Bibb</w:t>
      </w:r>
    </w:p>
    <w:p w14:paraId="6EC7368E" w14:textId="5AB13553" w:rsidR="001773FC" w:rsidRPr="00281408" w:rsidRDefault="004F78C8">
      <w:pPr>
        <w:pStyle w:val="Body1"/>
        <w:spacing w:after="200"/>
        <w:rPr>
          <w:b/>
          <w:bCs/>
          <w:sz w:val="22"/>
          <w:szCs w:val="22"/>
        </w:rPr>
      </w:pPr>
      <w:r w:rsidRPr="00281408">
        <w:rPr>
          <w:b/>
          <w:bCs/>
          <w:sz w:val="22"/>
          <w:szCs w:val="22"/>
        </w:rPr>
        <w:t>Call to Order</w:t>
      </w:r>
    </w:p>
    <w:p w14:paraId="7DAD2744" w14:textId="74D77ABD" w:rsidR="001A447B" w:rsidRDefault="004F78C8" w:rsidP="001A447B">
      <w:pPr>
        <w:pStyle w:val="ListParagraph"/>
        <w:numPr>
          <w:ilvl w:val="0"/>
          <w:numId w:val="12"/>
        </w:numPr>
      </w:pPr>
      <w:r w:rsidRPr="001A447B">
        <w:rPr>
          <w:sz w:val="22"/>
          <w:szCs w:val="22"/>
        </w:rPr>
        <w:t xml:space="preserve">Faculty Senate </w:t>
      </w:r>
      <w:r w:rsidRPr="001A447B">
        <w:rPr>
          <w:b/>
          <w:sz w:val="22"/>
          <w:szCs w:val="22"/>
        </w:rPr>
        <w:t>Chair</w:t>
      </w:r>
      <w:r w:rsidR="00644249" w:rsidRPr="001A447B">
        <w:rPr>
          <w:b/>
          <w:sz w:val="22"/>
          <w:szCs w:val="22"/>
        </w:rPr>
        <w:t xml:space="preserve"> </w:t>
      </w:r>
      <w:r w:rsidR="005D5AE9" w:rsidRPr="001A447B">
        <w:rPr>
          <w:b/>
          <w:sz w:val="22"/>
          <w:szCs w:val="22"/>
        </w:rPr>
        <w:t>Clark Jones</w:t>
      </w:r>
      <w:r w:rsidRPr="001A447B">
        <w:rPr>
          <w:sz w:val="22"/>
          <w:szCs w:val="22"/>
        </w:rPr>
        <w:t xml:space="preserve"> </w:t>
      </w:r>
      <w:r w:rsidR="001A447B">
        <w:t>Chair Clark Jones gaveled the meeting to order at 3:30.</w:t>
      </w:r>
    </w:p>
    <w:p w14:paraId="098C97E7" w14:textId="77777777" w:rsidR="002464ED" w:rsidRDefault="002464ED" w:rsidP="002464ED">
      <w:pPr>
        <w:pStyle w:val="ListParagraph"/>
      </w:pPr>
    </w:p>
    <w:p w14:paraId="76C84533" w14:textId="18ABE65B" w:rsidR="001A447B" w:rsidRDefault="001A447B" w:rsidP="001A447B">
      <w:pPr>
        <w:pStyle w:val="ListParagraph"/>
        <w:numPr>
          <w:ilvl w:val="0"/>
          <w:numId w:val="12"/>
        </w:numPr>
      </w:pPr>
      <w:r>
        <w:t xml:space="preserve">The </w:t>
      </w:r>
      <w:r w:rsidRPr="001A447B">
        <w:rPr>
          <w:b/>
        </w:rPr>
        <w:t>minutes</w:t>
      </w:r>
      <w:r>
        <w:t xml:space="preserve"> of the February 6</w:t>
      </w:r>
      <w:r w:rsidRPr="001A447B">
        <w:rPr>
          <w:vertAlign w:val="superscript"/>
        </w:rPr>
        <w:t>th</w:t>
      </w:r>
      <w:r>
        <w:t xml:space="preserve"> meeting were approved as written.</w:t>
      </w:r>
    </w:p>
    <w:p w14:paraId="725D9D2A" w14:textId="56142DFF" w:rsidR="002464ED" w:rsidRDefault="002464ED" w:rsidP="002464ED"/>
    <w:p w14:paraId="5F357E61" w14:textId="71AC3A7A" w:rsidR="002464ED" w:rsidRDefault="002464ED" w:rsidP="002464ED">
      <w:pPr>
        <w:rPr>
          <w:b/>
        </w:rPr>
      </w:pPr>
      <w:r w:rsidRPr="002464ED">
        <w:rPr>
          <w:b/>
        </w:rPr>
        <w:t>New Business</w:t>
      </w:r>
    </w:p>
    <w:p w14:paraId="774C580C" w14:textId="77777777" w:rsidR="002464ED" w:rsidRPr="002464ED" w:rsidRDefault="002464ED" w:rsidP="002464ED">
      <w:pPr>
        <w:rPr>
          <w:b/>
        </w:rPr>
      </w:pPr>
    </w:p>
    <w:p w14:paraId="23C2FF63" w14:textId="5419F0A1" w:rsidR="002464ED" w:rsidRDefault="002464ED" w:rsidP="002464ED">
      <w:pPr>
        <w:pStyle w:val="ListParagraph"/>
        <w:numPr>
          <w:ilvl w:val="0"/>
          <w:numId w:val="12"/>
        </w:numPr>
      </w:pPr>
      <w:r w:rsidRPr="002464ED">
        <w:rPr>
          <w:b/>
        </w:rPr>
        <w:t>Announcements</w:t>
      </w:r>
      <w:r>
        <w:t xml:space="preserve">: Jones then reminded the senators of the </w:t>
      </w:r>
      <w:r w:rsidRPr="002464ED">
        <w:rPr>
          <w:b/>
        </w:rPr>
        <w:t>Faculty Assembly</w:t>
      </w:r>
      <w:r>
        <w:t xml:space="preserve"> set for March 25</w:t>
      </w:r>
      <w:r w:rsidRPr="002464ED">
        <w:rPr>
          <w:vertAlign w:val="superscript"/>
        </w:rPr>
        <w:t xml:space="preserve"> </w:t>
      </w:r>
      <w:r>
        <w:t>from 3:30-5:00 p.m. in the Shaddock Auditorium to consider the DEI Essential Competency and Implementation documents, as well as updates to the Faculty Senate Bylaws. The vote on these items will be electronic.</w:t>
      </w:r>
    </w:p>
    <w:p w14:paraId="0ACC3EE0" w14:textId="77777777" w:rsidR="002464ED" w:rsidRDefault="002464ED" w:rsidP="002464ED">
      <w:pPr>
        <w:ind w:left="720"/>
      </w:pPr>
      <w:r>
        <w:t xml:space="preserve">He called attention to some </w:t>
      </w:r>
      <w:r w:rsidRPr="001A447B">
        <w:rPr>
          <w:b/>
        </w:rPr>
        <w:t>calendar changes</w:t>
      </w:r>
      <w:r>
        <w:t>: Fall break of 2020 has been moved from a Monday-Tuesday to a Thursday-Friday (Oct. 8-9</w:t>
      </w:r>
      <w:r w:rsidRPr="008B4AF9">
        <w:rPr>
          <w:vertAlign w:val="superscript"/>
        </w:rPr>
        <w:t>th</w:t>
      </w:r>
      <w:r>
        <w:t xml:space="preserve">, 2020), and Thanksgiving break has been extended to the entire week. The Registrar’s website and TCU’s </w:t>
      </w:r>
      <w:proofErr w:type="gramStart"/>
      <w:r>
        <w:t>5 year</w:t>
      </w:r>
      <w:proofErr w:type="gramEnd"/>
      <w:r>
        <w:t xml:space="preserve"> calendar have been updated to reflect these changes. VP Susan Weeks’ office will get Marketing to publicize these changes.</w:t>
      </w:r>
    </w:p>
    <w:p w14:paraId="5894DCE8" w14:textId="77777777" w:rsidR="002464ED" w:rsidRDefault="002464ED" w:rsidP="002464ED">
      <w:pPr>
        <w:ind w:left="720"/>
      </w:pPr>
      <w:r w:rsidRPr="001A447B">
        <w:rPr>
          <w:b/>
        </w:rPr>
        <w:t>Faculty Senate nominations</w:t>
      </w:r>
      <w:r>
        <w:t xml:space="preserve"> are due by tomorrow, </w:t>
      </w:r>
      <w:r w:rsidRPr="001A447B">
        <w:rPr>
          <w:b/>
        </w:rPr>
        <w:t>March 6</w:t>
      </w:r>
      <w:r w:rsidRPr="001A447B">
        <w:rPr>
          <w:b/>
          <w:vertAlign w:val="superscript"/>
        </w:rPr>
        <w:t>th</w:t>
      </w:r>
      <w:r>
        <w:t>.</w:t>
      </w:r>
    </w:p>
    <w:p w14:paraId="61EB9FB3" w14:textId="77777777" w:rsidR="002464ED" w:rsidRDefault="002464ED" w:rsidP="002464ED">
      <w:pPr>
        <w:ind w:left="720"/>
      </w:pPr>
      <w:r>
        <w:t xml:space="preserve">Please note that the </w:t>
      </w:r>
      <w:r w:rsidRPr="001A447B">
        <w:rPr>
          <w:b/>
        </w:rPr>
        <w:t>University Committees survey</w:t>
      </w:r>
      <w:r>
        <w:t xml:space="preserve"> has just gone out, along with descriptions of the various responsibilities of each University committee.</w:t>
      </w:r>
    </w:p>
    <w:p w14:paraId="275A73B1" w14:textId="77777777" w:rsidR="002464ED" w:rsidRDefault="002464ED" w:rsidP="002464ED">
      <w:pPr>
        <w:ind w:left="720"/>
      </w:pPr>
      <w:r>
        <w:lastRenderedPageBreak/>
        <w:t xml:space="preserve">Jones asked senators to think about how they might adjust their courses, should the university get shut down for </w:t>
      </w:r>
      <w:r w:rsidRPr="007A383F">
        <w:rPr>
          <w:b/>
        </w:rPr>
        <w:t>coronavirus</w:t>
      </w:r>
      <w:r>
        <w:t xml:space="preserve"> reasons later this semester. Chairs were asked to think about how to handle long-term absences of their department’s faculty and staff who may become sick or quarantined due to the coronavirus. Numerous questions and concerns were then posed.</w:t>
      </w:r>
    </w:p>
    <w:p w14:paraId="600D2861" w14:textId="77777777" w:rsidR="002464ED" w:rsidRDefault="002464ED" w:rsidP="002464ED"/>
    <w:p w14:paraId="2BDB6483" w14:textId="292EDB56" w:rsidR="002464ED" w:rsidRDefault="00C90D5C" w:rsidP="00815F3B">
      <w:pPr>
        <w:pStyle w:val="ListParagraph"/>
        <w:numPr>
          <w:ilvl w:val="0"/>
          <w:numId w:val="12"/>
        </w:numPr>
      </w:pPr>
      <w:r w:rsidRPr="002464ED">
        <w:rPr>
          <w:b/>
        </w:rPr>
        <w:t>Provost Dahlberg</w:t>
      </w:r>
      <w:r>
        <w:t xml:space="preserve"> </w:t>
      </w:r>
      <w:r w:rsidR="002464ED">
        <w:t>addressed the Senate. Please see the Provost’s website for a pro</w:t>
      </w:r>
      <w:r w:rsidR="00F775A3">
        <w:t xml:space="preserve">gress report on VIA: Lead </w:t>
      </w:r>
      <w:proofErr w:type="spellStart"/>
      <w:r w:rsidR="00F775A3">
        <w:t>On’s</w:t>
      </w:r>
      <w:proofErr w:type="spellEnd"/>
      <w:r w:rsidR="00F775A3">
        <w:t xml:space="preserve"> </w:t>
      </w:r>
      <w:r w:rsidR="002464ED">
        <w:t>Academic Affairs Priorities (</w:t>
      </w:r>
      <w:hyperlink r:id="rId7" w:history="1">
        <w:r w:rsidR="002464ED" w:rsidRPr="007C49F1">
          <w:rPr>
            <w:rStyle w:val="Hyperlink"/>
          </w:rPr>
          <w:t>https://provost.tcu.edu/academic-affairs-priorities/</w:t>
        </w:r>
      </w:hyperlink>
      <w:r w:rsidR="002464ED">
        <w:t xml:space="preserve"> ). Dahlberg also announced the implementation planning underway focused on </w:t>
      </w:r>
      <w:r w:rsidR="002464ED" w:rsidRPr="002464ED">
        <w:rPr>
          <w:b/>
        </w:rPr>
        <w:t>Strategic Inclusive Excellence.</w:t>
      </w:r>
      <w:r w:rsidR="002464ED">
        <w:t xml:space="preserve"> Elements include the completion of a </w:t>
      </w:r>
      <w:r w:rsidR="002464ED" w:rsidRPr="002464ED">
        <w:rPr>
          <w:b/>
        </w:rPr>
        <w:t>DEI inventory</w:t>
      </w:r>
      <w:r w:rsidR="002464ED">
        <w:t xml:space="preserve"> to identify what we are already doing, and to consider how we should do things in order to more fully integrate DEI into current systems. </w:t>
      </w:r>
      <w:r w:rsidR="002464ED" w:rsidRPr="002464ED">
        <w:rPr>
          <w:b/>
        </w:rPr>
        <w:t>Listening sessions</w:t>
      </w:r>
      <w:r w:rsidR="002464ED">
        <w:t xml:space="preserve"> are proving informative, and recommendations from </w:t>
      </w:r>
      <w:r w:rsidR="002464ED" w:rsidRPr="002464ED">
        <w:rPr>
          <w:b/>
        </w:rPr>
        <w:t xml:space="preserve">round tables </w:t>
      </w:r>
      <w:r w:rsidR="002464ED" w:rsidRPr="004415F9">
        <w:t>are being collected.</w:t>
      </w:r>
      <w:r w:rsidR="002464ED">
        <w:t xml:space="preserve"> Student demands and recommendations based on student experiences of problems are informing the process. The Chancellor’s Cabinet and the Provost’s Council are considering how to synthesize the collected information. Even with TCU’s plethora of DEI activities and recommendations, there are still insufficient evidence-based activities and assessment-based outcomes in place. In order to produce institutional change--culture change at TCU--the numerous DEI content experts on campus need to partner with the Higher Ed Leadership experts. Working together, cultural change and deep institutional change will be possible. </w:t>
      </w:r>
      <w:r w:rsidR="002464ED" w:rsidRPr="002464ED">
        <w:rPr>
          <w:b/>
        </w:rPr>
        <w:t>Damon Williams</w:t>
      </w:r>
      <w:r w:rsidR="002464ED">
        <w:t xml:space="preserve">, a DEI national expert/consultant on strategic inclusive excellence, is currently working with the Provost’s office. They, along with the </w:t>
      </w:r>
      <w:r w:rsidR="002464ED" w:rsidRPr="002464ED">
        <w:rPr>
          <w:b/>
        </w:rPr>
        <w:t>Chancellor’s Cabinet</w:t>
      </w:r>
      <w:r w:rsidR="002464ED">
        <w:t xml:space="preserve">, with leadership from </w:t>
      </w:r>
      <w:r w:rsidR="002464ED" w:rsidRPr="002464ED">
        <w:rPr>
          <w:b/>
        </w:rPr>
        <w:t>Aisha Torrey-Sawyer</w:t>
      </w:r>
      <w:r w:rsidR="002464ED">
        <w:t xml:space="preserve">, are developing an implementation plan to change the culture at TCU. </w:t>
      </w:r>
    </w:p>
    <w:p w14:paraId="5A38E941" w14:textId="499913B3" w:rsidR="002464ED" w:rsidRDefault="002464ED" w:rsidP="002464ED">
      <w:pPr>
        <w:ind w:left="720"/>
      </w:pPr>
      <w:r>
        <w:t xml:space="preserve">Dahlberg also informed the </w:t>
      </w:r>
      <w:proofErr w:type="spellStart"/>
      <w:r>
        <w:t>Seneate</w:t>
      </w:r>
      <w:proofErr w:type="spellEnd"/>
      <w:r>
        <w:t xml:space="preserve"> of an </w:t>
      </w:r>
      <w:r w:rsidRPr="005B3A51">
        <w:rPr>
          <w:b/>
        </w:rPr>
        <w:t xml:space="preserve">upcoming internal search </w:t>
      </w:r>
      <w:r>
        <w:t xml:space="preserve">for an </w:t>
      </w:r>
      <w:r w:rsidRPr="005B3A51">
        <w:rPr>
          <w:b/>
        </w:rPr>
        <w:t>Associate Provost for Faculty Affairs</w:t>
      </w:r>
      <w:r>
        <w:t xml:space="preserve">. This position had been linked to the “Academy of Tomorrow” position, which has been unfilled since May 2018. The AP for Faculty Affairs will be for a three year term, and will focus on faculty development and faculty affairs (chair and dean and leadership development) in order to strengthen what we have and to interface with DEI and teaching development and in scholarship development; this person would work closely with Floyd </w:t>
      </w:r>
      <w:proofErr w:type="spellStart"/>
      <w:r>
        <w:t>Wormley</w:t>
      </w:r>
      <w:proofErr w:type="spellEnd"/>
      <w:r>
        <w:t xml:space="preserve"> &amp; Susan Weeks &amp; Claire Sanders &amp; the Provost.</w:t>
      </w:r>
      <w:r w:rsidR="00BB179A">
        <w:t xml:space="preserve"> </w:t>
      </w:r>
      <w:r>
        <w:rPr>
          <w:b/>
        </w:rPr>
        <w:t xml:space="preserve">The new </w:t>
      </w:r>
      <w:proofErr w:type="spellStart"/>
      <w:r w:rsidRPr="005B3A51">
        <w:rPr>
          <w:b/>
        </w:rPr>
        <w:t>AddRan</w:t>
      </w:r>
      <w:proofErr w:type="spellEnd"/>
      <w:r>
        <w:rPr>
          <w:b/>
        </w:rPr>
        <w:t xml:space="preserve"> College of Liberal Arts</w:t>
      </w:r>
      <w:r w:rsidRPr="005B3A51">
        <w:rPr>
          <w:b/>
        </w:rPr>
        <w:t xml:space="preserve"> Dean</w:t>
      </w:r>
      <w:r>
        <w:rPr>
          <w:b/>
        </w:rPr>
        <w:t>,</w:t>
      </w:r>
      <w:r w:rsidRPr="005B3A51">
        <w:rPr>
          <w:b/>
        </w:rPr>
        <w:t xml:space="preserve"> Sonja Watson</w:t>
      </w:r>
      <w:r>
        <w:rPr>
          <w:b/>
        </w:rPr>
        <w:t>,</w:t>
      </w:r>
      <w:r>
        <w:t xml:space="preserve"> will join the campus in June 1</w:t>
      </w:r>
      <w:r w:rsidRPr="001510F8">
        <w:rPr>
          <w:vertAlign w:val="superscript"/>
        </w:rPr>
        <w:t>st</w:t>
      </w:r>
      <w:r>
        <w:t xml:space="preserve">. </w:t>
      </w:r>
      <w:r>
        <w:rPr>
          <w:b/>
        </w:rPr>
        <w:t xml:space="preserve">The </w:t>
      </w:r>
      <w:r w:rsidRPr="005B3A51">
        <w:rPr>
          <w:b/>
        </w:rPr>
        <w:t>Fine Arts Dean Search</w:t>
      </w:r>
      <w:r>
        <w:t xml:space="preserve"> will restart in the next AY. </w:t>
      </w:r>
      <w:r w:rsidRPr="005B3A51">
        <w:rPr>
          <w:b/>
        </w:rPr>
        <w:t>Richard Gipson</w:t>
      </w:r>
      <w:r>
        <w:t xml:space="preserve">, who has served as “acting dean” for two years, will complete a third year (through May 2021) with the title of “Dean.” </w:t>
      </w:r>
      <w:r w:rsidRPr="005B3A51">
        <w:rPr>
          <w:b/>
        </w:rPr>
        <w:t>The College of Education Dean Search</w:t>
      </w:r>
      <w:r>
        <w:rPr>
          <w:b/>
        </w:rPr>
        <w:t xml:space="preserve">, </w:t>
      </w:r>
      <w:r w:rsidRPr="005B3A51">
        <w:t xml:space="preserve">which </w:t>
      </w:r>
      <w:r>
        <w:t>involved very good finalist candidates, has concluded, and a decision will be announced soon.</w:t>
      </w:r>
      <w:r w:rsidR="00BB179A">
        <w:t xml:space="preserve"> </w:t>
      </w:r>
      <w:r>
        <w:rPr>
          <w:b/>
        </w:rPr>
        <w:t xml:space="preserve">Dean </w:t>
      </w:r>
      <w:r w:rsidRPr="005B3A51">
        <w:rPr>
          <w:b/>
        </w:rPr>
        <w:t xml:space="preserve">Jean </w:t>
      </w:r>
      <w:proofErr w:type="spellStart"/>
      <w:r w:rsidRPr="005B3A51">
        <w:rPr>
          <w:b/>
        </w:rPr>
        <w:t>Ko</w:t>
      </w:r>
      <w:r>
        <w:rPr>
          <w:b/>
        </w:rPr>
        <w:t>e</w:t>
      </w:r>
      <w:r w:rsidRPr="005B3A51">
        <w:rPr>
          <w:b/>
        </w:rPr>
        <w:t>lker</w:t>
      </w:r>
      <w:proofErr w:type="spellEnd"/>
      <w:r>
        <w:rPr>
          <w:b/>
        </w:rPr>
        <w:t xml:space="preserve"> </w:t>
      </w:r>
      <w:r>
        <w:t xml:space="preserve">will retire this summer from her service as Dean of the Library. </w:t>
      </w:r>
      <w:r w:rsidRPr="005B3A51">
        <w:rPr>
          <w:b/>
        </w:rPr>
        <w:t>Dan Williams</w:t>
      </w:r>
      <w:r>
        <w:t xml:space="preserve"> is chairing an internal search for a new dean of the Library. This search will begin at the end of Spring Break in order to have a replacement ready when Dean </w:t>
      </w:r>
      <w:proofErr w:type="spellStart"/>
      <w:r>
        <w:t>Koelker</w:t>
      </w:r>
      <w:proofErr w:type="spellEnd"/>
      <w:r>
        <w:t xml:space="preserve"> steps down.</w:t>
      </w:r>
    </w:p>
    <w:p w14:paraId="10958722" w14:textId="77777777" w:rsidR="00BB179A" w:rsidRDefault="00BB179A" w:rsidP="002464ED">
      <w:pPr>
        <w:ind w:left="720"/>
      </w:pPr>
    </w:p>
    <w:p w14:paraId="69B56776" w14:textId="536DD34E" w:rsidR="00BB179A" w:rsidRDefault="00BB179A" w:rsidP="00BB179A">
      <w:pPr>
        <w:pStyle w:val="ListParagraph"/>
        <w:numPr>
          <w:ilvl w:val="0"/>
          <w:numId w:val="12"/>
        </w:numPr>
      </w:pPr>
      <w:r>
        <w:t>Next,</w:t>
      </w:r>
      <w:r w:rsidRPr="00BB179A">
        <w:rPr>
          <w:b/>
        </w:rPr>
        <w:t xml:space="preserve"> Cheryl Taylor</w:t>
      </w:r>
      <w:r>
        <w:t xml:space="preserve"> spoke to the Senate about the </w:t>
      </w:r>
      <w:r w:rsidRPr="00BB179A">
        <w:rPr>
          <w:b/>
        </w:rPr>
        <w:t>“Great Colleges to Work for Survey,”</w:t>
      </w:r>
      <w:r>
        <w:t xml:space="preserve"> which will come out </w:t>
      </w:r>
      <w:r w:rsidRPr="00BB179A">
        <w:rPr>
          <w:b/>
        </w:rPr>
        <w:t>March 9</w:t>
      </w:r>
      <w:r w:rsidRPr="00BB179A">
        <w:rPr>
          <w:b/>
          <w:vertAlign w:val="superscript"/>
        </w:rPr>
        <w:t>th</w:t>
      </w:r>
      <w:r>
        <w:t xml:space="preserve"> to 600 randomly selected </w:t>
      </w:r>
      <w:proofErr w:type="gramStart"/>
      <w:r>
        <w:t>employees, and</w:t>
      </w:r>
      <w:proofErr w:type="gramEnd"/>
      <w:r>
        <w:t xml:space="preserve"> will close on April 3</w:t>
      </w:r>
      <w:r w:rsidRPr="00BB179A">
        <w:rPr>
          <w:vertAlign w:val="superscript"/>
        </w:rPr>
        <w:t>rd</w:t>
      </w:r>
      <w:r>
        <w:t>. This will be the 10</w:t>
      </w:r>
      <w:r w:rsidRPr="00BB179A">
        <w:rPr>
          <w:vertAlign w:val="superscript"/>
        </w:rPr>
        <w:t>th</w:t>
      </w:r>
      <w:r>
        <w:t xml:space="preserve"> year of TCU participating in this survey. </w:t>
      </w:r>
    </w:p>
    <w:p w14:paraId="37503AC4" w14:textId="77777777" w:rsidR="00BB179A" w:rsidRDefault="00BB179A" w:rsidP="00BB179A">
      <w:pPr>
        <w:pStyle w:val="ListParagraph"/>
      </w:pPr>
    </w:p>
    <w:p w14:paraId="2CE15436" w14:textId="35561B9A" w:rsidR="00BB179A" w:rsidRDefault="00BB179A" w:rsidP="00BB179A">
      <w:pPr>
        <w:pStyle w:val="ListParagraph"/>
        <w:numPr>
          <w:ilvl w:val="0"/>
          <w:numId w:val="12"/>
        </w:numPr>
      </w:pPr>
      <w:proofErr w:type="spellStart"/>
      <w:r w:rsidRPr="00BB179A">
        <w:rPr>
          <w:b/>
        </w:rPr>
        <w:lastRenderedPageBreak/>
        <w:t>Kristee</w:t>
      </w:r>
      <w:proofErr w:type="spellEnd"/>
      <w:r w:rsidRPr="00BB179A">
        <w:rPr>
          <w:b/>
        </w:rPr>
        <w:t xml:space="preserve"> Bell</w:t>
      </w:r>
      <w:r>
        <w:t xml:space="preserve"> and Clark Jones then addressed the Senate regarding the</w:t>
      </w:r>
      <w:r w:rsidRPr="00BB179A">
        <w:rPr>
          <w:b/>
        </w:rPr>
        <w:t xml:space="preserve"> Faculty/Staff Annual Campaign</w:t>
      </w:r>
      <w:r>
        <w:t>—</w:t>
      </w:r>
      <w:r w:rsidRPr="00BB179A">
        <w:rPr>
          <w:b/>
        </w:rPr>
        <w:t>March 30-April 22, 2020</w:t>
      </w:r>
      <w:r>
        <w:t xml:space="preserve">—highlighting inspirational student stories and memorial gift opportunities. Please give to support TCU students &amp; programs. 1647 employees (75%) participated last year. Any gift in any amount is </w:t>
      </w:r>
      <w:proofErr w:type="gramStart"/>
      <w:r>
        <w:t>valued, and</w:t>
      </w:r>
      <w:proofErr w:type="gramEnd"/>
      <w:r>
        <w:t xml:space="preserve"> is important as a marker for other philanthropic entities to consider. “All gifts count.” Give back to whatever program you choose. Make your gift on-line or as a payroll deduction. Look for your email regarding this year’s campaign.</w:t>
      </w:r>
    </w:p>
    <w:p w14:paraId="632705BE" w14:textId="77777777" w:rsidR="00BB179A" w:rsidRDefault="00BB179A" w:rsidP="00BB179A">
      <w:pPr>
        <w:pStyle w:val="ListParagraph"/>
      </w:pPr>
    </w:p>
    <w:p w14:paraId="322EF8BD" w14:textId="1B1DABE0" w:rsidR="00BB179A" w:rsidRDefault="00BB179A" w:rsidP="00BB179A">
      <w:pPr>
        <w:pStyle w:val="ListParagraph"/>
        <w:numPr>
          <w:ilvl w:val="0"/>
          <w:numId w:val="12"/>
        </w:numPr>
      </w:pPr>
      <w:r w:rsidRPr="0054541B">
        <w:t xml:space="preserve">Next, </w:t>
      </w:r>
      <w:r w:rsidRPr="00BB179A">
        <w:rPr>
          <w:b/>
        </w:rPr>
        <w:t xml:space="preserve">Claire Sanders, </w:t>
      </w:r>
      <w:r w:rsidRPr="0054541B">
        <w:t xml:space="preserve">along with </w:t>
      </w:r>
      <w:r w:rsidRPr="00BB179A">
        <w:rPr>
          <w:b/>
        </w:rPr>
        <w:t xml:space="preserve">Campus Minister Angie Kaufman, </w:t>
      </w:r>
      <w:r w:rsidRPr="0054541B">
        <w:t xml:space="preserve">introduced </w:t>
      </w:r>
      <w:r w:rsidRPr="00BB179A">
        <w:rPr>
          <w:b/>
        </w:rPr>
        <w:t xml:space="preserve">a draft of a Religious Holiday &amp; Observance Policy for TCU students. </w:t>
      </w:r>
      <w:r w:rsidRPr="0054541B">
        <w:t>T</w:t>
      </w:r>
      <w:r>
        <w:t xml:space="preserve">his is a document on which the Office of Religious and Spiritual Life has worked for several years. On March 6, 2018, the SGA passed a resolution in unanimous support of this policy, which is part of TCU’s effort to be a welcoming home and diverse community for students from many different backgrounds. Student responsibility would be (during the first 2 weeks of the semester) to notify in writing their faculty of religious holidays that may cause them to miss class during the semester. Faculty members will be responsible for helping such students find accommodation for these holidays. The Office of Religious and Spiritual Life will put out a master calendar of holidays each year. </w:t>
      </w:r>
      <w:proofErr w:type="spellStart"/>
      <w:r>
        <w:t>Yohna</w:t>
      </w:r>
      <w:proofErr w:type="spellEnd"/>
      <w:r>
        <w:t xml:space="preserve"> Chambers wants it to be posted on the Policy Page as well. The Faculty Senate committee which is working on an exam schedule accommodation document should consider this draft in order to align language across documents. Students may not be penalized for observing significant religious holidays. Discussion ensued. This is a DEI issue for faculty and staff too. TCU is committed to making proper accommodations for religious observance and HR has a helpful template. This should be a university-wide policy. Please send further comments and questions to </w:t>
      </w:r>
      <w:hyperlink r:id="rId8" w:history="1">
        <w:r w:rsidRPr="00BB179A">
          <w:rPr>
            <w:rStyle w:val="Hyperlink"/>
            <w:color w:val="auto"/>
            <w:u w:val="none"/>
          </w:rPr>
          <w:t xml:space="preserve">Claire:  </w:t>
        </w:r>
        <w:r w:rsidRPr="00567EC4">
          <w:rPr>
            <w:rStyle w:val="Hyperlink"/>
          </w:rPr>
          <w:t>c.sanders@tcu.edu</w:t>
        </w:r>
      </w:hyperlink>
      <w:r>
        <w:t xml:space="preserve">. </w:t>
      </w:r>
    </w:p>
    <w:p w14:paraId="5C5775C2" w14:textId="35429ADE" w:rsidR="007D4AAA" w:rsidRDefault="007D4AAA" w:rsidP="007D4AAA">
      <w:pPr>
        <w:pStyle w:val="ListParagraph"/>
      </w:pPr>
    </w:p>
    <w:p w14:paraId="321E6474" w14:textId="13E3DEA7" w:rsidR="007D4AAA" w:rsidRPr="007D4AAA" w:rsidRDefault="007D4AAA" w:rsidP="007D4AAA">
      <w:pPr>
        <w:pStyle w:val="ListParagraph"/>
        <w:numPr>
          <w:ilvl w:val="0"/>
          <w:numId w:val="12"/>
        </w:numPr>
      </w:pPr>
      <w:r>
        <w:t xml:space="preserve">In introducing the matter of whether or not to give Senate Endorsement to the </w:t>
      </w:r>
      <w:r w:rsidRPr="007D4AAA">
        <w:rPr>
          <w:b/>
        </w:rPr>
        <w:t>University Compensation Advisory Committee (UCAC) proposal on the TCU Benefits Package</w:t>
      </w:r>
      <w:r>
        <w:t xml:space="preserve">, </w:t>
      </w:r>
      <w:r w:rsidRPr="007D4AAA">
        <w:rPr>
          <w:b/>
        </w:rPr>
        <w:t>current UCAC Co-chair, Greg Stephens</w:t>
      </w:r>
      <w:r>
        <w:t xml:space="preserve"> explained how the proposed conclusions were developed. He emphasized that everyone on the large committee had to compromise on their priorities to some extent. He asked for questions, and he introduced Matt Milnes from HR/Benefits, as another resource in the room. Discussion ensued. Stephens cautioned that the committee had had to do its work without a lot of information provided, and he reminded the body that the Chancellor has assured the faculty that the new benefits will only apply to new employees. To the question, </w:t>
      </w:r>
      <w:proofErr w:type="gramStart"/>
      <w:r>
        <w:t>What</w:t>
      </w:r>
      <w:proofErr w:type="gramEnd"/>
      <w:r>
        <w:t xml:space="preserve"> is missing from this new benefits package? Stephens replied: The cap on the contributions to the retirement fund is new. Vesting schedule is new. No vacation or sick-time payout in new package, which affects staff, not faculty. </w:t>
      </w:r>
      <w:r w:rsidRPr="007D4AAA">
        <w:rPr>
          <w:b/>
        </w:rPr>
        <w:t>Vote to endorse included 33 senators for, 0 senators against, 2 senators abstaining.</w:t>
      </w:r>
    </w:p>
    <w:p w14:paraId="0B776586" w14:textId="77777777" w:rsidR="007D4AAA" w:rsidRDefault="007D4AAA" w:rsidP="007D4AAA">
      <w:pPr>
        <w:pStyle w:val="ListParagraph"/>
      </w:pPr>
    </w:p>
    <w:p w14:paraId="087A5074" w14:textId="054E25DB" w:rsidR="007D4AAA" w:rsidRDefault="007D4AAA" w:rsidP="007D4AAA">
      <w:pPr>
        <w:pStyle w:val="ListParagraph"/>
        <w:numPr>
          <w:ilvl w:val="0"/>
          <w:numId w:val="12"/>
        </w:numPr>
      </w:pPr>
      <w:r w:rsidRPr="007D4AAA">
        <w:rPr>
          <w:b/>
        </w:rPr>
        <w:t xml:space="preserve">Vote on Compensation Resolution from the Faculty Relations Committee (FRC) </w:t>
      </w:r>
      <w:r>
        <w:t>was presented by Andrew Ledbetter, FRC Chair:</w:t>
      </w:r>
    </w:p>
    <w:p w14:paraId="331B67C7" w14:textId="77777777" w:rsidR="007D4AAA" w:rsidRDefault="007D4AAA" w:rsidP="007D4AAA">
      <w:pPr>
        <w:pStyle w:val="ListParagraph"/>
      </w:pPr>
    </w:p>
    <w:p w14:paraId="576D3A25" w14:textId="77777777" w:rsidR="007D4AAA" w:rsidRPr="007D4AAA" w:rsidRDefault="007D4AAA" w:rsidP="007D4AAA">
      <w:pPr>
        <w:ind w:left="720"/>
        <w:jc w:val="center"/>
        <w:rPr>
          <w:b/>
          <w:bCs/>
        </w:rPr>
      </w:pPr>
      <w:r w:rsidRPr="007D4AAA">
        <w:rPr>
          <w:b/>
          <w:bCs/>
        </w:rPr>
        <w:t>Compensation Resolution</w:t>
      </w:r>
    </w:p>
    <w:p w14:paraId="145C8CA3" w14:textId="77777777" w:rsidR="007D4AAA" w:rsidRDefault="007D4AAA" w:rsidP="007D4AAA">
      <w:pPr>
        <w:ind w:left="720"/>
        <w:jc w:val="center"/>
      </w:pPr>
      <w:r>
        <w:t>Faculty Relations Committee</w:t>
      </w:r>
    </w:p>
    <w:p w14:paraId="3D8C11F8" w14:textId="77777777" w:rsidR="007D4AAA" w:rsidRDefault="007D4AAA" w:rsidP="007D4AAA">
      <w:pPr>
        <w:ind w:left="720"/>
        <w:jc w:val="center"/>
      </w:pPr>
      <w:r>
        <w:t>March 2020</w:t>
      </w:r>
    </w:p>
    <w:p w14:paraId="419A3F3F" w14:textId="77777777" w:rsidR="007D4AAA" w:rsidRDefault="007D4AAA" w:rsidP="007D4AAA">
      <w:pPr>
        <w:ind w:left="720"/>
      </w:pPr>
    </w:p>
    <w:p w14:paraId="557919CB" w14:textId="77777777" w:rsidR="007D4AAA" w:rsidRDefault="007D4AAA" w:rsidP="007D4AAA">
      <w:pPr>
        <w:ind w:left="720"/>
      </w:pPr>
      <w:r>
        <w:t>The TCU Faculty Senate is dedicated to sustaining TCU’s momentum, distinction, and excellence, and supports the Vision in Action: Lead On strategic plan, including the goals to strengthen TCU’s academic profile and reputation and to strengthen the workforce.</w:t>
      </w:r>
    </w:p>
    <w:p w14:paraId="21DF6CA5" w14:textId="77777777" w:rsidR="007D4AAA" w:rsidRDefault="007D4AAA" w:rsidP="007D4AAA">
      <w:pPr>
        <w:ind w:left="720"/>
      </w:pPr>
      <w:r>
        <w:t>Therefore, be it resolved that the TCU Faculty Senate endorses the principles set forth in the “Resolution on TCU Employee Benefits,” adopted unanimously by the Faculty Senate on May 2, 2013, which states that benefits must be considered as a part of compensation, and not separately, that reductions to compensation should only be considered in the event of a budgetary exigency that poses a threat to TCU’s well-being, and that such reductions should only be considered as one part of a larger campus-wide effort to reduce expenditures.</w:t>
      </w:r>
    </w:p>
    <w:p w14:paraId="1357BF00" w14:textId="77777777" w:rsidR="007D4AAA" w:rsidRDefault="007D4AAA" w:rsidP="007D4AAA">
      <w:pPr>
        <w:ind w:left="720"/>
      </w:pPr>
      <w:r>
        <w:t>Be it further resolved that, in the event of a financial exigency, and before any proposed reductions are implemented, and as a means of declaring its position, the TCU Faculty Senate take a formal vote on any reductions to compensation.</w:t>
      </w:r>
    </w:p>
    <w:p w14:paraId="28471A4D" w14:textId="77777777" w:rsidR="007D4AAA" w:rsidRDefault="007D4AAA" w:rsidP="007D4AAA">
      <w:pPr>
        <w:ind w:left="720"/>
      </w:pPr>
      <w:r>
        <w:t>Finally, be it resolved that the TCU Faculty Senate respectfully asks the Chancellor and Cabinet to initiate a campus-wide dialogue on TCU’s future that would not only include compensation but all elements of anticipated revenue and expenses, that a task force representing all areas of campus be established to discuss and prepare for the challenges facing TCU, and more broadly higher education, and that, in the spirit of shared governance, this task force be given access to all pertinent information that might impact TCU’s future.</w:t>
      </w:r>
    </w:p>
    <w:p w14:paraId="4AC8B165" w14:textId="5C24379A" w:rsidR="007D4AAA" w:rsidRDefault="007D4AAA" w:rsidP="007D4AAA">
      <w:pPr>
        <w:ind w:left="720"/>
      </w:pPr>
      <w:r>
        <w:t>The vote in favor of this resolution was</w:t>
      </w:r>
      <w:r w:rsidRPr="007D4AAA">
        <w:rPr>
          <w:b/>
        </w:rPr>
        <w:t xml:space="preserve"> unanimous</w:t>
      </w:r>
      <w:r>
        <w:t>.</w:t>
      </w:r>
    </w:p>
    <w:p w14:paraId="7475EC14" w14:textId="77777777" w:rsidR="007D4AAA" w:rsidRDefault="007D4AAA" w:rsidP="007D4AAA">
      <w:pPr>
        <w:ind w:left="720"/>
      </w:pPr>
    </w:p>
    <w:p w14:paraId="6255EB07" w14:textId="187E9F31" w:rsidR="007D4AAA" w:rsidRDefault="007D4AAA" w:rsidP="007D4AAA">
      <w:pPr>
        <w:pStyle w:val="ListParagraph"/>
        <w:numPr>
          <w:ilvl w:val="0"/>
          <w:numId w:val="12"/>
        </w:numPr>
      </w:pPr>
      <w:r>
        <w:t xml:space="preserve">Then, </w:t>
      </w:r>
      <w:r w:rsidRPr="007D4AAA">
        <w:rPr>
          <w:b/>
        </w:rPr>
        <w:t xml:space="preserve">Pam </w:t>
      </w:r>
      <w:proofErr w:type="spellStart"/>
      <w:r w:rsidRPr="007D4AAA">
        <w:rPr>
          <w:b/>
        </w:rPr>
        <w:t>Frable</w:t>
      </w:r>
      <w:proofErr w:type="spellEnd"/>
      <w:r w:rsidRPr="007D4AAA">
        <w:rPr>
          <w:b/>
        </w:rPr>
        <w:t>, chair of the Governance Committee</w:t>
      </w:r>
      <w:r>
        <w:t xml:space="preserve">, made an announcement on the upcoming </w:t>
      </w:r>
      <w:r w:rsidRPr="007D4AAA">
        <w:rPr>
          <w:b/>
        </w:rPr>
        <w:t>election of senators</w:t>
      </w:r>
      <w:r>
        <w:t xml:space="preserve"> and encouraged current senators to “please talk to the people in your units to encourage them to run for Senate.” </w:t>
      </w:r>
      <w:r w:rsidRPr="007D4AAA">
        <w:rPr>
          <w:b/>
        </w:rPr>
        <w:t>Officer nominations will be accepted after Spring Break</w:t>
      </w:r>
      <w:r>
        <w:t xml:space="preserve"> and will be </w:t>
      </w:r>
      <w:r w:rsidRPr="007D4AAA">
        <w:rPr>
          <w:b/>
        </w:rPr>
        <w:t>presented at April meeting on April 2nd</w:t>
      </w:r>
      <w:r>
        <w:t xml:space="preserve">. </w:t>
      </w:r>
      <w:r w:rsidRPr="007D4AAA">
        <w:rPr>
          <w:b/>
        </w:rPr>
        <w:t>April 30</w:t>
      </w:r>
      <w:r w:rsidRPr="007D4AAA">
        <w:rPr>
          <w:b/>
          <w:vertAlign w:val="superscript"/>
        </w:rPr>
        <w:t>th</w:t>
      </w:r>
      <w:r w:rsidRPr="007D4AAA">
        <w:rPr>
          <w:b/>
        </w:rPr>
        <w:t xml:space="preserve"> </w:t>
      </w:r>
      <w:r>
        <w:t xml:space="preserve">is the last Senate meeting of the </w:t>
      </w:r>
      <w:proofErr w:type="gramStart"/>
      <w:r>
        <w:t>year,</w:t>
      </w:r>
      <w:proofErr w:type="gramEnd"/>
      <w:r>
        <w:t xml:space="preserve"> at which time the Senate will vote on its slate of new officers.</w:t>
      </w:r>
    </w:p>
    <w:p w14:paraId="4CADCC7A" w14:textId="77777777" w:rsidR="007D4AAA" w:rsidRDefault="007D4AAA" w:rsidP="007D4AAA"/>
    <w:p w14:paraId="3FE1CC27" w14:textId="1701E24E" w:rsidR="007D4AAA" w:rsidRDefault="007D4AAA" w:rsidP="007D4AAA">
      <w:pPr>
        <w:pStyle w:val="ListParagraph"/>
        <w:numPr>
          <w:ilvl w:val="0"/>
          <w:numId w:val="12"/>
        </w:numPr>
      </w:pPr>
      <w:r w:rsidRPr="007D4AAA">
        <w:rPr>
          <w:b/>
        </w:rPr>
        <w:t xml:space="preserve">Chair-elect Sean Atkinson </w:t>
      </w:r>
      <w:r>
        <w:t xml:space="preserve">spoke to the </w:t>
      </w:r>
      <w:r w:rsidRPr="007D4AAA">
        <w:rPr>
          <w:b/>
        </w:rPr>
        <w:t>FSEC Resolution/Statement on Diversity, Equity, and Inclusion</w:t>
      </w:r>
      <w:r>
        <w:t>: “The faculty of TCU, are committed to helping foster a safe and equitable environment for all students, faculty, and staff, especially those from under-represented and minority groups. We acknowledge the pain and anguish suffered by far too many in our campus community. We welcome any recommendations, made in good faith, that can move TCU towards a future in which diversity, equity, and inclusion are core, demonstrable values.” An energetic discussion with questions and suggested emendations followed. Senators are encouraged to send other suggestions to Sean Atkinson (</w:t>
      </w:r>
      <w:hyperlink r:id="rId9" w:history="1">
        <w:r w:rsidRPr="007C49F1">
          <w:rPr>
            <w:rStyle w:val="Hyperlink"/>
          </w:rPr>
          <w:t>sean.atkinson@tcu.edu</w:t>
        </w:r>
      </w:hyperlink>
      <w:r>
        <w:t xml:space="preserve"> ). After a good discussion, the senate was informed that a revised resolution will be presented for a vote at the April 2</w:t>
      </w:r>
      <w:r w:rsidRPr="007D4AAA">
        <w:rPr>
          <w:vertAlign w:val="superscript"/>
        </w:rPr>
        <w:t>nd</w:t>
      </w:r>
      <w:r>
        <w:t xml:space="preserve"> meeting.</w:t>
      </w:r>
    </w:p>
    <w:p w14:paraId="27FF58D8" w14:textId="55D96675" w:rsidR="007D4AAA" w:rsidRDefault="007D4AAA" w:rsidP="007D4AAA"/>
    <w:p w14:paraId="103C7DAF" w14:textId="6C02FE83" w:rsidR="007D4AAA" w:rsidRPr="007D4AAA" w:rsidRDefault="007D4AAA" w:rsidP="007D4AAA">
      <w:pPr>
        <w:rPr>
          <w:b/>
        </w:rPr>
      </w:pPr>
      <w:r w:rsidRPr="007D4AAA">
        <w:rPr>
          <w:b/>
        </w:rPr>
        <w:t>Old Business</w:t>
      </w:r>
    </w:p>
    <w:p w14:paraId="49EAE971" w14:textId="77777777" w:rsidR="007D4AAA" w:rsidRDefault="007D4AAA" w:rsidP="007D4AAA"/>
    <w:p w14:paraId="540A65A6" w14:textId="40FCA933" w:rsidR="007D4AAA" w:rsidRDefault="007D4AAA" w:rsidP="007D4AAA">
      <w:pPr>
        <w:pStyle w:val="ListParagraph"/>
        <w:numPr>
          <w:ilvl w:val="0"/>
          <w:numId w:val="12"/>
        </w:numPr>
      </w:pPr>
      <w:r>
        <w:t xml:space="preserve">Jones reminded the body that we needed to vote on the new </w:t>
      </w:r>
      <w:r w:rsidRPr="007D4AAA">
        <w:rPr>
          <w:b/>
        </w:rPr>
        <w:t xml:space="preserve">Domestic Per Diem for Business Meals policy, </w:t>
      </w:r>
      <w:r w:rsidRPr="00444031">
        <w:t>which had been</w:t>
      </w:r>
      <w:r w:rsidRPr="007D4AAA">
        <w:rPr>
          <w:b/>
        </w:rPr>
        <w:t xml:space="preserve"> </w:t>
      </w:r>
      <w:r>
        <w:t xml:space="preserve">presented by </w:t>
      </w:r>
      <w:r w:rsidRPr="007D4AAA">
        <w:rPr>
          <w:b/>
        </w:rPr>
        <w:t>Kim Adams</w:t>
      </w:r>
      <w:r>
        <w:t xml:space="preserve"> in December 2019. The Administration wants to implement this policy by June 1</w:t>
      </w:r>
      <w:r w:rsidRPr="007D4AAA">
        <w:rPr>
          <w:vertAlign w:val="superscript"/>
        </w:rPr>
        <w:t>st</w:t>
      </w:r>
      <w:r>
        <w:t xml:space="preserve">, but also wants the Faculty </w:t>
      </w:r>
      <w:r>
        <w:lastRenderedPageBreak/>
        <w:t xml:space="preserve">Senate to vote on it. The </w:t>
      </w:r>
      <w:r w:rsidRPr="007D4AAA">
        <w:rPr>
          <w:b/>
        </w:rPr>
        <w:t>new policy passed</w:t>
      </w:r>
      <w:r>
        <w:t xml:space="preserve"> with 34 senators in favor, 2 opposed, and 6 abstentions.</w:t>
      </w:r>
    </w:p>
    <w:p w14:paraId="37F3E876" w14:textId="77777777" w:rsidR="007D4AAA" w:rsidRDefault="007D4AAA" w:rsidP="007D4AAA">
      <w:pPr>
        <w:pStyle w:val="ListParagraph"/>
      </w:pPr>
    </w:p>
    <w:p w14:paraId="1704983F" w14:textId="2FCC13CA" w:rsidR="007D4AAA" w:rsidRDefault="007D4AAA" w:rsidP="007D4AAA">
      <w:pPr>
        <w:pStyle w:val="ListParagraph"/>
        <w:numPr>
          <w:ilvl w:val="0"/>
          <w:numId w:val="12"/>
        </w:numPr>
      </w:pPr>
      <w:r>
        <w:t xml:space="preserve">Finally, </w:t>
      </w:r>
      <w:proofErr w:type="spellStart"/>
      <w:r w:rsidRPr="007D4AAA">
        <w:rPr>
          <w:b/>
        </w:rPr>
        <w:t>Joddy</w:t>
      </w:r>
      <w:proofErr w:type="spellEnd"/>
      <w:r w:rsidRPr="007D4AAA">
        <w:rPr>
          <w:b/>
        </w:rPr>
        <w:t xml:space="preserve"> Murray, chair of the Academic Excellence Committee,</w:t>
      </w:r>
      <w:r>
        <w:t xml:space="preserve"> was called on to talk about the </w:t>
      </w:r>
      <w:r w:rsidRPr="007D4AAA">
        <w:rPr>
          <w:b/>
        </w:rPr>
        <w:t>March 3</w:t>
      </w:r>
      <w:r w:rsidRPr="007D4AAA">
        <w:rPr>
          <w:b/>
          <w:vertAlign w:val="superscript"/>
        </w:rPr>
        <w:t>rd</w:t>
      </w:r>
      <w:r w:rsidRPr="007D4AAA">
        <w:rPr>
          <w:b/>
        </w:rPr>
        <w:t xml:space="preserve"> Mental Health Symposium</w:t>
      </w:r>
      <w:r>
        <w:t xml:space="preserve">, which 47 people attended and which he described as a good, conversation-rich event in which many stories were shared, in addition to the panel discussion. A large percentage of TCU students have self-reported their issues and concerns. This event will help foster an inclusion focus and inform faculty as we monitor our own pedagogy. A recording of the event was </w:t>
      </w:r>
      <w:proofErr w:type="gramStart"/>
      <w:r>
        <w:t>made</w:t>
      </w:r>
      <w:proofErr w:type="gramEnd"/>
      <w:r>
        <w:t xml:space="preserve"> and a link will be available on Box soon. The SGA Director of Wellness participated. </w:t>
      </w:r>
    </w:p>
    <w:p w14:paraId="3D84B6ED" w14:textId="77777777" w:rsidR="00AF4D92" w:rsidRDefault="00AF4D92" w:rsidP="00AF4D92">
      <w:pPr>
        <w:pStyle w:val="ListParagraph"/>
      </w:pPr>
    </w:p>
    <w:p w14:paraId="6111399F" w14:textId="52A5368A" w:rsidR="00AF4D92" w:rsidRDefault="00AF4D92" w:rsidP="006A54E1">
      <w:pPr>
        <w:pStyle w:val="ListParagraph"/>
        <w:numPr>
          <w:ilvl w:val="0"/>
          <w:numId w:val="12"/>
        </w:numPr>
      </w:pPr>
      <w:r>
        <w:t>Chair Jones closed the meeting by asking senators to talk to their departments and units about upcoming events and other items discussed today. The meeting was adjourned at 4:58.</w:t>
      </w:r>
    </w:p>
    <w:p w14:paraId="329488AC" w14:textId="22FF38FC" w:rsidR="00EF4176" w:rsidRPr="00AF4D92" w:rsidRDefault="00EF4176" w:rsidP="00AF4D92">
      <w:pPr>
        <w:rPr>
          <w:sz w:val="20"/>
          <w:szCs w:val="20"/>
        </w:rPr>
      </w:pPr>
    </w:p>
    <w:p w14:paraId="171FFE77" w14:textId="40DFB25D" w:rsidR="00EF4176" w:rsidRDefault="00EF4176" w:rsidP="00EF4176">
      <w:r>
        <w:t>Respectfully submitted,</w:t>
      </w:r>
    </w:p>
    <w:p w14:paraId="60CA81B6" w14:textId="53DEFA7C" w:rsidR="00EF4176" w:rsidRDefault="00EF4176" w:rsidP="00EF4176"/>
    <w:p w14:paraId="4171C830" w14:textId="100865FB" w:rsidR="00EF4176" w:rsidRDefault="00EF4176" w:rsidP="00EF4176">
      <w:r>
        <w:t xml:space="preserve">Jan Quesada, </w:t>
      </w:r>
      <w:r w:rsidR="00377CE7">
        <w:t xml:space="preserve">Recording </w:t>
      </w:r>
      <w:r>
        <w:t>Secretary</w:t>
      </w:r>
    </w:p>
    <w:p w14:paraId="4519B2AD" w14:textId="77777777" w:rsidR="00EF4176" w:rsidRDefault="00EF4176" w:rsidP="00EF4176">
      <w:r>
        <w:t>TCU Faculty Senate</w:t>
      </w:r>
    </w:p>
    <w:p w14:paraId="27A30B7B" w14:textId="3465B916" w:rsidR="00EF4176" w:rsidRDefault="00EF4176" w:rsidP="00EF4176"/>
    <w:p w14:paraId="24AC3323" w14:textId="34CF16A6" w:rsidR="009B2669" w:rsidRDefault="009B2669" w:rsidP="00AF3F2E"/>
    <w:sectPr w:rsidR="009B266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61D754" w14:textId="77777777" w:rsidR="00D4102E" w:rsidRDefault="00D4102E">
      <w:r>
        <w:separator/>
      </w:r>
    </w:p>
  </w:endnote>
  <w:endnote w:type="continuationSeparator" w:id="0">
    <w:p w14:paraId="47D9808D" w14:textId="77777777" w:rsidR="00D4102E" w:rsidRDefault="00D41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Segoe UI">
    <w:panose1 w:val="020B0604020202020204"/>
    <w:charset w:val="00"/>
    <w:family w:val="swiss"/>
    <w:pitch w:val="variable"/>
    <w:sig w:usb0="E4002EFF" w:usb1="C000E47F" w:usb2="00000009" w:usb3="00000000" w:csb0="000001FF" w:csb1="00000000"/>
  </w:font>
  <w:font w:name=".SF UI Text">
    <w:altName w:val="Times New Roman"/>
    <w:panose1 w:val="020B0604020202020204"/>
    <w:charset w:val="00"/>
    <w:family w:val="roman"/>
    <w:notTrueType/>
    <w:pitch w:val="default"/>
  </w:font>
  <w:font w:name=".SFUIText">
    <w:altName w:val="Times New Roman"/>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918DEE" w14:textId="77777777" w:rsidR="00D4102E" w:rsidRDefault="00D4102E">
      <w:r>
        <w:separator/>
      </w:r>
    </w:p>
  </w:footnote>
  <w:footnote w:type="continuationSeparator" w:id="0">
    <w:p w14:paraId="6117FD9B" w14:textId="77777777" w:rsidR="00D4102E" w:rsidRDefault="00D410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C6849"/>
    <w:multiLevelType w:val="hybridMultilevel"/>
    <w:tmpl w:val="2B0E0316"/>
    <w:styleLink w:val="ImportedStyle1"/>
    <w:lvl w:ilvl="0" w:tplc="CA304D9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F487168">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658427C">
      <w:start w:val="1"/>
      <w:numFmt w:val="lowerRoman"/>
      <w:lvlText w:val="%3."/>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5501ED2">
      <w:start w:val="1"/>
      <w:numFmt w:val="decimal"/>
      <w:lvlText w:val="%4."/>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7388E8E">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28E6AEE">
      <w:start w:val="1"/>
      <w:numFmt w:val="lowerRoman"/>
      <w:lvlText w:val="%6."/>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E2E8FDC">
      <w:start w:val="1"/>
      <w:numFmt w:val="decimal"/>
      <w:lvlText w:val="%7."/>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3AAA5BA">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4F4BA14">
      <w:start w:val="1"/>
      <w:numFmt w:val="lowerRoman"/>
      <w:lvlText w:val="%9."/>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68430F6"/>
    <w:multiLevelType w:val="hybridMultilevel"/>
    <w:tmpl w:val="E4622CC4"/>
    <w:lvl w:ilvl="0" w:tplc="1AAEE098">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5156B3"/>
    <w:multiLevelType w:val="hybridMultilevel"/>
    <w:tmpl w:val="DFA2FE7A"/>
    <w:lvl w:ilvl="0" w:tplc="1958A2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14775A"/>
    <w:multiLevelType w:val="hybridMultilevel"/>
    <w:tmpl w:val="E4622CC4"/>
    <w:lvl w:ilvl="0" w:tplc="1AAEE098">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3249E3"/>
    <w:multiLevelType w:val="hybridMultilevel"/>
    <w:tmpl w:val="2B0E0316"/>
    <w:numStyleLink w:val="ImportedStyle1"/>
  </w:abstractNum>
  <w:abstractNum w:abstractNumId="5" w15:restartNumberingAfterBreak="0">
    <w:nsid w:val="3A602739"/>
    <w:multiLevelType w:val="hybridMultilevel"/>
    <w:tmpl w:val="C292CD3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F3E6AA8"/>
    <w:multiLevelType w:val="hybridMultilevel"/>
    <w:tmpl w:val="DDB63FA4"/>
    <w:lvl w:ilvl="0" w:tplc="2FEAB0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25117C"/>
    <w:multiLevelType w:val="hybridMultilevel"/>
    <w:tmpl w:val="BD0031EC"/>
    <w:lvl w:ilvl="0" w:tplc="B7ACDE1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5D6CC1"/>
    <w:multiLevelType w:val="hybridMultilevel"/>
    <w:tmpl w:val="D9808274"/>
    <w:lvl w:ilvl="0" w:tplc="178217BC">
      <w:start w:val="1"/>
      <w:numFmt w:val="bullet"/>
      <w:lvlText w:val="•"/>
      <w:lvlJc w:val="left"/>
      <w:pPr>
        <w:tabs>
          <w:tab w:val="num" w:pos="720"/>
        </w:tabs>
        <w:ind w:left="720" w:hanging="360"/>
      </w:pPr>
      <w:rPr>
        <w:rFonts w:ascii="Arial" w:hAnsi="Arial" w:hint="default"/>
      </w:rPr>
    </w:lvl>
    <w:lvl w:ilvl="1" w:tplc="CB564932">
      <w:start w:val="142"/>
      <w:numFmt w:val="bullet"/>
      <w:lvlText w:val="•"/>
      <w:lvlJc w:val="left"/>
      <w:pPr>
        <w:tabs>
          <w:tab w:val="num" w:pos="1440"/>
        </w:tabs>
        <w:ind w:left="1440" w:hanging="360"/>
      </w:pPr>
      <w:rPr>
        <w:rFonts w:ascii="Arial" w:hAnsi="Arial" w:hint="default"/>
      </w:rPr>
    </w:lvl>
    <w:lvl w:ilvl="2" w:tplc="915E6C98" w:tentative="1">
      <w:start w:val="1"/>
      <w:numFmt w:val="bullet"/>
      <w:lvlText w:val="•"/>
      <w:lvlJc w:val="left"/>
      <w:pPr>
        <w:tabs>
          <w:tab w:val="num" w:pos="2160"/>
        </w:tabs>
        <w:ind w:left="2160" w:hanging="360"/>
      </w:pPr>
      <w:rPr>
        <w:rFonts w:ascii="Arial" w:hAnsi="Arial" w:hint="default"/>
      </w:rPr>
    </w:lvl>
    <w:lvl w:ilvl="3" w:tplc="83A6F7E2" w:tentative="1">
      <w:start w:val="1"/>
      <w:numFmt w:val="bullet"/>
      <w:lvlText w:val="•"/>
      <w:lvlJc w:val="left"/>
      <w:pPr>
        <w:tabs>
          <w:tab w:val="num" w:pos="2880"/>
        </w:tabs>
        <w:ind w:left="2880" w:hanging="360"/>
      </w:pPr>
      <w:rPr>
        <w:rFonts w:ascii="Arial" w:hAnsi="Arial" w:hint="default"/>
      </w:rPr>
    </w:lvl>
    <w:lvl w:ilvl="4" w:tplc="477EFF24" w:tentative="1">
      <w:start w:val="1"/>
      <w:numFmt w:val="bullet"/>
      <w:lvlText w:val="•"/>
      <w:lvlJc w:val="left"/>
      <w:pPr>
        <w:tabs>
          <w:tab w:val="num" w:pos="3600"/>
        </w:tabs>
        <w:ind w:left="3600" w:hanging="360"/>
      </w:pPr>
      <w:rPr>
        <w:rFonts w:ascii="Arial" w:hAnsi="Arial" w:hint="default"/>
      </w:rPr>
    </w:lvl>
    <w:lvl w:ilvl="5" w:tplc="A4024A50" w:tentative="1">
      <w:start w:val="1"/>
      <w:numFmt w:val="bullet"/>
      <w:lvlText w:val="•"/>
      <w:lvlJc w:val="left"/>
      <w:pPr>
        <w:tabs>
          <w:tab w:val="num" w:pos="4320"/>
        </w:tabs>
        <w:ind w:left="4320" w:hanging="360"/>
      </w:pPr>
      <w:rPr>
        <w:rFonts w:ascii="Arial" w:hAnsi="Arial" w:hint="default"/>
      </w:rPr>
    </w:lvl>
    <w:lvl w:ilvl="6" w:tplc="383E2676" w:tentative="1">
      <w:start w:val="1"/>
      <w:numFmt w:val="bullet"/>
      <w:lvlText w:val="•"/>
      <w:lvlJc w:val="left"/>
      <w:pPr>
        <w:tabs>
          <w:tab w:val="num" w:pos="5040"/>
        </w:tabs>
        <w:ind w:left="5040" w:hanging="360"/>
      </w:pPr>
      <w:rPr>
        <w:rFonts w:ascii="Arial" w:hAnsi="Arial" w:hint="default"/>
      </w:rPr>
    </w:lvl>
    <w:lvl w:ilvl="7" w:tplc="C784AD7E" w:tentative="1">
      <w:start w:val="1"/>
      <w:numFmt w:val="bullet"/>
      <w:lvlText w:val="•"/>
      <w:lvlJc w:val="left"/>
      <w:pPr>
        <w:tabs>
          <w:tab w:val="num" w:pos="5760"/>
        </w:tabs>
        <w:ind w:left="5760" w:hanging="360"/>
      </w:pPr>
      <w:rPr>
        <w:rFonts w:ascii="Arial" w:hAnsi="Arial" w:hint="default"/>
      </w:rPr>
    </w:lvl>
    <w:lvl w:ilvl="8" w:tplc="32E85C8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EFF14D6"/>
    <w:multiLevelType w:val="hybridMultilevel"/>
    <w:tmpl w:val="D00E62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471160"/>
    <w:multiLevelType w:val="hybridMultilevel"/>
    <w:tmpl w:val="9F66A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B856D9"/>
    <w:multiLevelType w:val="hybridMultilevel"/>
    <w:tmpl w:val="00CAA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lvlOverride w:ilvl="0">
      <w:lvl w:ilvl="0" w:tplc="BAFE5590">
        <w:start w:val="1"/>
        <w:numFmt w:val="decimal"/>
        <w:lvlText w:val="%1."/>
        <w:lvlJc w:val="left"/>
        <w:pPr>
          <w:ind w:left="360" w:hanging="360"/>
        </w:pPr>
        <w:rPr>
          <w:b w:val="0"/>
          <w:i w:val="0"/>
        </w:rPr>
      </w:lvl>
    </w:lvlOverride>
    <w:lvlOverride w:ilvl="1">
      <w:lvl w:ilvl="1" w:tplc="F2623C70" w:tentative="1">
        <w:start w:val="1"/>
        <w:numFmt w:val="lowerLetter"/>
        <w:lvlText w:val="%2."/>
        <w:lvlJc w:val="left"/>
        <w:pPr>
          <w:ind w:left="1080" w:hanging="360"/>
        </w:pPr>
      </w:lvl>
    </w:lvlOverride>
    <w:lvlOverride w:ilvl="2">
      <w:lvl w:ilvl="2" w:tplc="F8D6E04A" w:tentative="1">
        <w:start w:val="1"/>
        <w:numFmt w:val="lowerRoman"/>
        <w:lvlText w:val="%3."/>
        <w:lvlJc w:val="right"/>
        <w:pPr>
          <w:ind w:left="1800" w:hanging="180"/>
        </w:pPr>
      </w:lvl>
    </w:lvlOverride>
    <w:lvlOverride w:ilvl="3">
      <w:lvl w:ilvl="3" w:tplc="2FF04FE8" w:tentative="1">
        <w:start w:val="1"/>
        <w:numFmt w:val="decimal"/>
        <w:lvlText w:val="%4."/>
        <w:lvlJc w:val="left"/>
        <w:pPr>
          <w:ind w:left="2520" w:hanging="360"/>
        </w:pPr>
      </w:lvl>
    </w:lvlOverride>
    <w:lvlOverride w:ilvl="4">
      <w:lvl w:ilvl="4" w:tplc="DD940DD6" w:tentative="1">
        <w:start w:val="1"/>
        <w:numFmt w:val="lowerLetter"/>
        <w:lvlText w:val="%5."/>
        <w:lvlJc w:val="left"/>
        <w:pPr>
          <w:ind w:left="3240" w:hanging="360"/>
        </w:pPr>
      </w:lvl>
    </w:lvlOverride>
    <w:lvlOverride w:ilvl="5">
      <w:lvl w:ilvl="5" w:tplc="1EDE9160" w:tentative="1">
        <w:start w:val="1"/>
        <w:numFmt w:val="lowerRoman"/>
        <w:lvlText w:val="%6."/>
        <w:lvlJc w:val="right"/>
        <w:pPr>
          <w:ind w:left="3960" w:hanging="180"/>
        </w:pPr>
      </w:lvl>
    </w:lvlOverride>
    <w:lvlOverride w:ilvl="6">
      <w:lvl w:ilvl="6" w:tplc="80F80B9C" w:tentative="1">
        <w:start w:val="1"/>
        <w:numFmt w:val="decimal"/>
        <w:lvlText w:val="%7."/>
        <w:lvlJc w:val="left"/>
        <w:pPr>
          <w:ind w:left="4680" w:hanging="360"/>
        </w:pPr>
      </w:lvl>
    </w:lvlOverride>
    <w:lvlOverride w:ilvl="7">
      <w:lvl w:ilvl="7" w:tplc="C74A1F9C" w:tentative="1">
        <w:start w:val="1"/>
        <w:numFmt w:val="lowerLetter"/>
        <w:lvlText w:val="%8."/>
        <w:lvlJc w:val="left"/>
        <w:pPr>
          <w:ind w:left="5400" w:hanging="360"/>
        </w:pPr>
      </w:lvl>
    </w:lvlOverride>
    <w:lvlOverride w:ilvl="8">
      <w:lvl w:ilvl="8" w:tplc="22EC3F6E" w:tentative="1">
        <w:start w:val="1"/>
        <w:numFmt w:val="lowerRoman"/>
        <w:lvlText w:val="%9."/>
        <w:lvlJc w:val="right"/>
        <w:pPr>
          <w:ind w:left="6120" w:hanging="180"/>
        </w:pPr>
      </w:lvl>
    </w:lvlOverride>
  </w:num>
  <w:num w:numId="3">
    <w:abstractNumId w:val="5"/>
  </w:num>
  <w:num w:numId="4">
    <w:abstractNumId w:val="11"/>
  </w:num>
  <w:num w:numId="5">
    <w:abstractNumId w:val="4"/>
  </w:num>
  <w:num w:numId="6">
    <w:abstractNumId w:val="10"/>
  </w:num>
  <w:num w:numId="7">
    <w:abstractNumId w:val="8"/>
  </w:num>
  <w:num w:numId="8">
    <w:abstractNumId w:val="9"/>
  </w:num>
  <w:num w:numId="9">
    <w:abstractNumId w:val="2"/>
  </w:num>
  <w:num w:numId="10">
    <w:abstractNumId w:val="6"/>
  </w:num>
  <w:num w:numId="11">
    <w:abstractNumId w:val="7"/>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3FC"/>
    <w:rsid w:val="00002EB4"/>
    <w:rsid w:val="00005412"/>
    <w:rsid w:val="00016F1A"/>
    <w:rsid w:val="00020151"/>
    <w:rsid w:val="00023C90"/>
    <w:rsid w:val="000274E8"/>
    <w:rsid w:val="00040BDC"/>
    <w:rsid w:val="00080D86"/>
    <w:rsid w:val="00087BF8"/>
    <w:rsid w:val="00090E01"/>
    <w:rsid w:val="000A6520"/>
    <w:rsid w:val="000A7028"/>
    <w:rsid w:val="000B2096"/>
    <w:rsid w:val="000B4D4A"/>
    <w:rsid w:val="000D5A52"/>
    <w:rsid w:val="000E1B39"/>
    <w:rsid w:val="000E3AF7"/>
    <w:rsid w:val="0011343E"/>
    <w:rsid w:val="0011693B"/>
    <w:rsid w:val="00134475"/>
    <w:rsid w:val="00141146"/>
    <w:rsid w:val="00157137"/>
    <w:rsid w:val="00160607"/>
    <w:rsid w:val="00164FA6"/>
    <w:rsid w:val="00171C0A"/>
    <w:rsid w:val="001720B6"/>
    <w:rsid w:val="001773FC"/>
    <w:rsid w:val="00196279"/>
    <w:rsid w:val="00197F1B"/>
    <w:rsid w:val="001A447B"/>
    <w:rsid w:val="001A47E8"/>
    <w:rsid w:val="001A57C6"/>
    <w:rsid w:val="001B29EB"/>
    <w:rsid w:val="001B6E48"/>
    <w:rsid w:val="001C294E"/>
    <w:rsid w:val="001E6800"/>
    <w:rsid w:val="001F6C30"/>
    <w:rsid w:val="002061C2"/>
    <w:rsid w:val="00206C03"/>
    <w:rsid w:val="00211503"/>
    <w:rsid w:val="002121C7"/>
    <w:rsid w:val="00241F87"/>
    <w:rsid w:val="002464ED"/>
    <w:rsid w:val="00274971"/>
    <w:rsid w:val="00281408"/>
    <w:rsid w:val="00292931"/>
    <w:rsid w:val="002939EA"/>
    <w:rsid w:val="002A6807"/>
    <w:rsid w:val="002C3CCB"/>
    <w:rsid w:val="002D1716"/>
    <w:rsid w:val="002D5A62"/>
    <w:rsid w:val="002D6AB0"/>
    <w:rsid w:val="002E12A7"/>
    <w:rsid w:val="002E4915"/>
    <w:rsid w:val="002E548D"/>
    <w:rsid w:val="002F2427"/>
    <w:rsid w:val="003028AD"/>
    <w:rsid w:val="003076F1"/>
    <w:rsid w:val="003146E8"/>
    <w:rsid w:val="0031480B"/>
    <w:rsid w:val="00331BA8"/>
    <w:rsid w:val="003346D6"/>
    <w:rsid w:val="003371A5"/>
    <w:rsid w:val="00344C2F"/>
    <w:rsid w:val="00347E60"/>
    <w:rsid w:val="003546CA"/>
    <w:rsid w:val="00355DEC"/>
    <w:rsid w:val="003568B3"/>
    <w:rsid w:val="003651DA"/>
    <w:rsid w:val="00377CE7"/>
    <w:rsid w:val="00382354"/>
    <w:rsid w:val="00392973"/>
    <w:rsid w:val="003953B0"/>
    <w:rsid w:val="003A1478"/>
    <w:rsid w:val="003B020E"/>
    <w:rsid w:val="003B1DDE"/>
    <w:rsid w:val="003B662F"/>
    <w:rsid w:val="003B6BE8"/>
    <w:rsid w:val="003D07AF"/>
    <w:rsid w:val="003D2FD5"/>
    <w:rsid w:val="003D36D0"/>
    <w:rsid w:val="003D6636"/>
    <w:rsid w:val="003E194A"/>
    <w:rsid w:val="003E7925"/>
    <w:rsid w:val="003F51A2"/>
    <w:rsid w:val="004013A3"/>
    <w:rsid w:val="004017F4"/>
    <w:rsid w:val="004045C8"/>
    <w:rsid w:val="00407789"/>
    <w:rsid w:val="00412C46"/>
    <w:rsid w:val="0041638A"/>
    <w:rsid w:val="00423172"/>
    <w:rsid w:val="00432938"/>
    <w:rsid w:val="00436637"/>
    <w:rsid w:val="00450A02"/>
    <w:rsid w:val="00454848"/>
    <w:rsid w:val="00456E0E"/>
    <w:rsid w:val="004728BC"/>
    <w:rsid w:val="0047369B"/>
    <w:rsid w:val="00474DC0"/>
    <w:rsid w:val="004814A3"/>
    <w:rsid w:val="00492779"/>
    <w:rsid w:val="00493F5A"/>
    <w:rsid w:val="004A327C"/>
    <w:rsid w:val="004A42FC"/>
    <w:rsid w:val="004B3392"/>
    <w:rsid w:val="004B4734"/>
    <w:rsid w:val="004C62A2"/>
    <w:rsid w:val="004D3E24"/>
    <w:rsid w:val="004D4A2D"/>
    <w:rsid w:val="004D572C"/>
    <w:rsid w:val="004E3144"/>
    <w:rsid w:val="004F61B6"/>
    <w:rsid w:val="004F78C8"/>
    <w:rsid w:val="005019F4"/>
    <w:rsid w:val="005263D2"/>
    <w:rsid w:val="00553DE5"/>
    <w:rsid w:val="0055463C"/>
    <w:rsid w:val="00570F86"/>
    <w:rsid w:val="0057139E"/>
    <w:rsid w:val="00591BA0"/>
    <w:rsid w:val="0059366F"/>
    <w:rsid w:val="005A7A38"/>
    <w:rsid w:val="005B01E6"/>
    <w:rsid w:val="005B070C"/>
    <w:rsid w:val="005D28BA"/>
    <w:rsid w:val="005D5AE9"/>
    <w:rsid w:val="005F2EBB"/>
    <w:rsid w:val="005F7147"/>
    <w:rsid w:val="00600B75"/>
    <w:rsid w:val="00623B9B"/>
    <w:rsid w:val="00630F77"/>
    <w:rsid w:val="0063110A"/>
    <w:rsid w:val="0063204F"/>
    <w:rsid w:val="00644249"/>
    <w:rsid w:val="00676478"/>
    <w:rsid w:val="00677AF9"/>
    <w:rsid w:val="00681E4C"/>
    <w:rsid w:val="00683BBC"/>
    <w:rsid w:val="00691337"/>
    <w:rsid w:val="006A6EC2"/>
    <w:rsid w:val="006C41CA"/>
    <w:rsid w:val="006D6A4E"/>
    <w:rsid w:val="006D7CAE"/>
    <w:rsid w:val="006E0FF4"/>
    <w:rsid w:val="006E46D9"/>
    <w:rsid w:val="006F65A4"/>
    <w:rsid w:val="006F7861"/>
    <w:rsid w:val="00706443"/>
    <w:rsid w:val="0071206F"/>
    <w:rsid w:val="00731F8E"/>
    <w:rsid w:val="00732411"/>
    <w:rsid w:val="00747337"/>
    <w:rsid w:val="007546D0"/>
    <w:rsid w:val="0076462C"/>
    <w:rsid w:val="00765A79"/>
    <w:rsid w:val="007718CD"/>
    <w:rsid w:val="007748D2"/>
    <w:rsid w:val="00787BD2"/>
    <w:rsid w:val="00790F94"/>
    <w:rsid w:val="00797339"/>
    <w:rsid w:val="007A1147"/>
    <w:rsid w:val="007A1708"/>
    <w:rsid w:val="007A2BCA"/>
    <w:rsid w:val="007D4AAA"/>
    <w:rsid w:val="007E692B"/>
    <w:rsid w:val="007F6746"/>
    <w:rsid w:val="0080164E"/>
    <w:rsid w:val="00802406"/>
    <w:rsid w:val="00802B43"/>
    <w:rsid w:val="00806756"/>
    <w:rsid w:val="00807625"/>
    <w:rsid w:val="00814A6C"/>
    <w:rsid w:val="00830E19"/>
    <w:rsid w:val="00832AA1"/>
    <w:rsid w:val="00851016"/>
    <w:rsid w:val="00855E2C"/>
    <w:rsid w:val="00857BD8"/>
    <w:rsid w:val="008A2618"/>
    <w:rsid w:val="008B0B31"/>
    <w:rsid w:val="008B1592"/>
    <w:rsid w:val="008C06B9"/>
    <w:rsid w:val="008D0E82"/>
    <w:rsid w:val="008D233D"/>
    <w:rsid w:val="008D26E2"/>
    <w:rsid w:val="008F2E34"/>
    <w:rsid w:val="00902AFB"/>
    <w:rsid w:val="00902D4A"/>
    <w:rsid w:val="00911E87"/>
    <w:rsid w:val="00920955"/>
    <w:rsid w:val="00930E3E"/>
    <w:rsid w:val="00936040"/>
    <w:rsid w:val="00954074"/>
    <w:rsid w:val="00962B7B"/>
    <w:rsid w:val="00963587"/>
    <w:rsid w:val="00993378"/>
    <w:rsid w:val="009A7070"/>
    <w:rsid w:val="009B0F97"/>
    <w:rsid w:val="009B178A"/>
    <w:rsid w:val="009B2669"/>
    <w:rsid w:val="009C69FD"/>
    <w:rsid w:val="009C7724"/>
    <w:rsid w:val="009F096E"/>
    <w:rsid w:val="00A02E07"/>
    <w:rsid w:val="00A042AB"/>
    <w:rsid w:val="00A1060E"/>
    <w:rsid w:val="00A146A6"/>
    <w:rsid w:val="00A14FBD"/>
    <w:rsid w:val="00A1788C"/>
    <w:rsid w:val="00A256BB"/>
    <w:rsid w:val="00A3004E"/>
    <w:rsid w:val="00A31896"/>
    <w:rsid w:val="00A40840"/>
    <w:rsid w:val="00A43C43"/>
    <w:rsid w:val="00A479B9"/>
    <w:rsid w:val="00A51707"/>
    <w:rsid w:val="00A52C47"/>
    <w:rsid w:val="00A54E9B"/>
    <w:rsid w:val="00A60C68"/>
    <w:rsid w:val="00A6171C"/>
    <w:rsid w:val="00A6496E"/>
    <w:rsid w:val="00A87937"/>
    <w:rsid w:val="00A901FB"/>
    <w:rsid w:val="00AB0787"/>
    <w:rsid w:val="00AC142F"/>
    <w:rsid w:val="00AC506A"/>
    <w:rsid w:val="00AF0CBE"/>
    <w:rsid w:val="00AF3F2E"/>
    <w:rsid w:val="00AF4D92"/>
    <w:rsid w:val="00B244AF"/>
    <w:rsid w:val="00B2798B"/>
    <w:rsid w:val="00B27E1C"/>
    <w:rsid w:val="00B46327"/>
    <w:rsid w:val="00B46530"/>
    <w:rsid w:val="00B466C3"/>
    <w:rsid w:val="00B479B8"/>
    <w:rsid w:val="00B53C2D"/>
    <w:rsid w:val="00B60254"/>
    <w:rsid w:val="00B76D33"/>
    <w:rsid w:val="00B83545"/>
    <w:rsid w:val="00B86C32"/>
    <w:rsid w:val="00B96C65"/>
    <w:rsid w:val="00BB179A"/>
    <w:rsid w:val="00BB6ABB"/>
    <w:rsid w:val="00BB7C7A"/>
    <w:rsid w:val="00BC29B3"/>
    <w:rsid w:val="00BC62A2"/>
    <w:rsid w:val="00BD443D"/>
    <w:rsid w:val="00BD62FD"/>
    <w:rsid w:val="00BE4D89"/>
    <w:rsid w:val="00BF0F26"/>
    <w:rsid w:val="00C01F65"/>
    <w:rsid w:val="00C12E75"/>
    <w:rsid w:val="00C35B6D"/>
    <w:rsid w:val="00C401CC"/>
    <w:rsid w:val="00C41E89"/>
    <w:rsid w:val="00C52092"/>
    <w:rsid w:val="00C54C23"/>
    <w:rsid w:val="00C569F4"/>
    <w:rsid w:val="00C90D5C"/>
    <w:rsid w:val="00C941B9"/>
    <w:rsid w:val="00C955CA"/>
    <w:rsid w:val="00CA637C"/>
    <w:rsid w:val="00CB4E31"/>
    <w:rsid w:val="00CC2342"/>
    <w:rsid w:val="00CC4101"/>
    <w:rsid w:val="00CC5B88"/>
    <w:rsid w:val="00CE0B89"/>
    <w:rsid w:val="00CE78E7"/>
    <w:rsid w:val="00CF2EC5"/>
    <w:rsid w:val="00CF38DB"/>
    <w:rsid w:val="00CF637F"/>
    <w:rsid w:val="00D00F46"/>
    <w:rsid w:val="00D06678"/>
    <w:rsid w:val="00D168B4"/>
    <w:rsid w:val="00D22188"/>
    <w:rsid w:val="00D2634F"/>
    <w:rsid w:val="00D4102E"/>
    <w:rsid w:val="00D5260D"/>
    <w:rsid w:val="00D572FE"/>
    <w:rsid w:val="00D70881"/>
    <w:rsid w:val="00D72137"/>
    <w:rsid w:val="00D75507"/>
    <w:rsid w:val="00D80A52"/>
    <w:rsid w:val="00D87940"/>
    <w:rsid w:val="00D92E66"/>
    <w:rsid w:val="00DB3C54"/>
    <w:rsid w:val="00DB6358"/>
    <w:rsid w:val="00DD4FE6"/>
    <w:rsid w:val="00DD606B"/>
    <w:rsid w:val="00DD6C18"/>
    <w:rsid w:val="00DD7BA5"/>
    <w:rsid w:val="00DE16B0"/>
    <w:rsid w:val="00E054A1"/>
    <w:rsid w:val="00E10C3A"/>
    <w:rsid w:val="00E212D9"/>
    <w:rsid w:val="00E214C4"/>
    <w:rsid w:val="00E36900"/>
    <w:rsid w:val="00E36CB4"/>
    <w:rsid w:val="00E44307"/>
    <w:rsid w:val="00E57894"/>
    <w:rsid w:val="00E64F9A"/>
    <w:rsid w:val="00E74F14"/>
    <w:rsid w:val="00E756E1"/>
    <w:rsid w:val="00E75C96"/>
    <w:rsid w:val="00E94C9D"/>
    <w:rsid w:val="00EB01B5"/>
    <w:rsid w:val="00EB0340"/>
    <w:rsid w:val="00EB1952"/>
    <w:rsid w:val="00EC0542"/>
    <w:rsid w:val="00EC0FA9"/>
    <w:rsid w:val="00EC7A1C"/>
    <w:rsid w:val="00ED2524"/>
    <w:rsid w:val="00EE07A0"/>
    <w:rsid w:val="00EF24CB"/>
    <w:rsid w:val="00EF4176"/>
    <w:rsid w:val="00EF79FA"/>
    <w:rsid w:val="00F02E27"/>
    <w:rsid w:val="00F228AB"/>
    <w:rsid w:val="00F2565F"/>
    <w:rsid w:val="00F2577D"/>
    <w:rsid w:val="00F25FB4"/>
    <w:rsid w:val="00F263F5"/>
    <w:rsid w:val="00F35A74"/>
    <w:rsid w:val="00F62B6F"/>
    <w:rsid w:val="00F64221"/>
    <w:rsid w:val="00F775A3"/>
    <w:rsid w:val="00F779A6"/>
    <w:rsid w:val="00F812C6"/>
    <w:rsid w:val="00FB18BD"/>
    <w:rsid w:val="00FB6023"/>
    <w:rsid w:val="00FB6B0F"/>
    <w:rsid w:val="00FD090A"/>
    <w:rsid w:val="00FE1FCC"/>
    <w:rsid w:val="00FE595B"/>
    <w:rsid w:val="00FE61ED"/>
    <w:rsid w:val="00FF6E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1F7D4D"/>
  <w15:docId w15:val="{DF60645A-98EC-4CEE-BD3C-84F64771C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cs="Arial Unicode MS"/>
      <w:color w:val="000000"/>
      <w:sz w:val="24"/>
      <w:szCs w:val="24"/>
      <w:u w:color="000000"/>
    </w:rPr>
  </w:style>
  <w:style w:type="paragraph" w:styleId="Heading1">
    <w:name w:val="heading 1"/>
    <w:basedOn w:val="Normal"/>
    <w:next w:val="Normal"/>
    <w:link w:val="Heading1Char"/>
    <w:uiPriority w:val="9"/>
    <w:qFormat/>
    <w:rsid w:val="008F2E34"/>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40"/>
      <w:outlineLvl w:val="0"/>
    </w:pPr>
    <w:rPr>
      <w:rFonts w:asciiTheme="majorHAnsi" w:eastAsiaTheme="majorEastAsia" w:hAnsiTheme="majorHAnsi" w:cstheme="majorBidi"/>
      <w:color w:val="365F91" w:themeColor="accent1" w:themeShade="BF"/>
      <w:sz w:val="32"/>
      <w:szCs w:val="32"/>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1">
    <w:name w:val="Body 1"/>
    <w:pPr>
      <w:outlineLvl w:val="0"/>
    </w:pPr>
    <w:rPr>
      <w:rFonts w:cs="Arial Unicode MS"/>
      <w:color w:val="000000"/>
      <w:sz w:val="24"/>
      <w:szCs w:val="24"/>
      <w:u w:color="000000"/>
    </w:rPr>
  </w:style>
  <w:style w:type="numbering" w:customStyle="1" w:styleId="ImportedStyle1">
    <w:name w:val="Imported Style 1"/>
    <w:pPr>
      <w:numPr>
        <w:numId w:val="1"/>
      </w:numPr>
    </w:pPr>
  </w:style>
  <w:style w:type="character" w:customStyle="1" w:styleId="currenthithighlight">
    <w:name w:val="currenthithighlight"/>
    <w:basedOn w:val="DefaultParagraphFont"/>
    <w:rsid w:val="00732411"/>
  </w:style>
  <w:style w:type="paragraph" w:styleId="ListParagraph">
    <w:name w:val="List Paragraph"/>
    <w:basedOn w:val="Normal"/>
    <w:uiPriority w:val="34"/>
    <w:qFormat/>
    <w:rsid w:val="00732411"/>
    <w:pPr>
      <w:ind w:left="720"/>
      <w:contextualSpacing/>
    </w:pPr>
  </w:style>
  <w:style w:type="paragraph" w:styleId="BalloonText">
    <w:name w:val="Balloon Text"/>
    <w:basedOn w:val="Normal"/>
    <w:link w:val="BalloonTextChar"/>
    <w:uiPriority w:val="99"/>
    <w:semiHidden/>
    <w:unhideWhenUsed/>
    <w:rsid w:val="00F62B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2B6F"/>
    <w:rPr>
      <w:rFonts w:ascii="Segoe UI" w:hAnsi="Segoe UI" w:cs="Segoe UI"/>
      <w:color w:val="000000"/>
      <w:sz w:val="18"/>
      <w:szCs w:val="18"/>
      <w:u w:color="000000"/>
    </w:rPr>
  </w:style>
  <w:style w:type="paragraph" w:styleId="Footer">
    <w:name w:val="footer"/>
    <w:basedOn w:val="Normal"/>
    <w:link w:val="FooterChar"/>
    <w:uiPriority w:val="99"/>
    <w:unhideWhenUsed/>
    <w:rsid w:val="00DB6358"/>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pPr>
    <w:rPr>
      <w:rFonts w:asciiTheme="minorHAnsi" w:eastAsiaTheme="minorHAnsi" w:hAnsiTheme="minorHAnsi" w:cstheme="minorBidi"/>
      <w:color w:val="auto"/>
      <w:sz w:val="22"/>
      <w:szCs w:val="22"/>
      <w:bdr w:val="none" w:sz="0" w:space="0" w:color="auto"/>
    </w:rPr>
  </w:style>
  <w:style w:type="character" w:customStyle="1" w:styleId="FooterChar">
    <w:name w:val="Footer Char"/>
    <w:basedOn w:val="DefaultParagraphFont"/>
    <w:link w:val="Footer"/>
    <w:uiPriority w:val="99"/>
    <w:rsid w:val="00DB6358"/>
    <w:rPr>
      <w:rFonts w:asciiTheme="minorHAnsi" w:eastAsiaTheme="minorHAnsi" w:hAnsiTheme="minorHAnsi" w:cstheme="minorBidi"/>
      <w:sz w:val="22"/>
      <w:szCs w:val="22"/>
      <w:bdr w:val="none" w:sz="0" w:space="0" w:color="auto"/>
    </w:rPr>
  </w:style>
  <w:style w:type="character" w:styleId="Emphasis">
    <w:name w:val="Emphasis"/>
    <w:basedOn w:val="DefaultParagraphFont"/>
    <w:uiPriority w:val="20"/>
    <w:qFormat/>
    <w:rsid w:val="00BE4D89"/>
    <w:rPr>
      <w:i/>
      <w:iCs/>
    </w:rPr>
  </w:style>
  <w:style w:type="paragraph" w:styleId="NormalWeb">
    <w:name w:val="Normal (Web)"/>
    <w:basedOn w:val="Normal"/>
    <w:uiPriority w:val="99"/>
    <w:semiHidden/>
    <w:unhideWhenUsed/>
    <w:rsid w:val="006F786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rPr>
  </w:style>
  <w:style w:type="paragraph" w:customStyle="1" w:styleId="p1">
    <w:name w:val="p1"/>
    <w:basedOn w:val="Normal"/>
    <w:rsid w:val="00157137"/>
    <w:pPr>
      <w:pBdr>
        <w:top w:val="none" w:sz="0" w:space="0" w:color="auto"/>
        <w:left w:val="none" w:sz="0" w:space="0" w:color="auto"/>
        <w:bottom w:val="none" w:sz="0" w:space="0" w:color="auto"/>
        <w:right w:val="none" w:sz="0" w:space="0" w:color="auto"/>
        <w:between w:val="none" w:sz="0" w:space="0" w:color="auto"/>
        <w:bar w:val="none" w:sz="0" w:color="auto"/>
      </w:pBdr>
    </w:pPr>
    <w:rPr>
      <w:rFonts w:ascii=".SF UI Text" w:eastAsiaTheme="minorHAnsi" w:hAnsi=".SF UI Text" w:cs="Times New Roman"/>
      <w:color w:val="454545"/>
      <w:sz w:val="26"/>
      <w:szCs w:val="26"/>
      <w:bdr w:val="none" w:sz="0" w:space="0" w:color="auto"/>
    </w:rPr>
  </w:style>
  <w:style w:type="character" w:customStyle="1" w:styleId="s1">
    <w:name w:val="s1"/>
    <w:basedOn w:val="DefaultParagraphFont"/>
    <w:rsid w:val="00157137"/>
    <w:rPr>
      <w:rFonts w:ascii=".SFUIText" w:hAnsi=".SFUIText" w:hint="default"/>
      <w:b w:val="0"/>
      <w:bCs w:val="0"/>
      <w:i w:val="0"/>
      <w:iCs w:val="0"/>
      <w:sz w:val="34"/>
      <w:szCs w:val="34"/>
    </w:rPr>
  </w:style>
  <w:style w:type="character" w:customStyle="1" w:styleId="Heading1Char">
    <w:name w:val="Heading 1 Char"/>
    <w:basedOn w:val="DefaultParagraphFont"/>
    <w:link w:val="Heading1"/>
    <w:uiPriority w:val="9"/>
    <w:rsid w:val="008F2E34"/>
    <w:rPr>
      <w:rFonts w:asciiTheme="majorHAnsi" w:eastAsiaTheme="majorEastAsia" w:hAnsiTheme="majorHAnsi" w:cstheme="majorBidi"/>
      <w:color w:val="365F91" w:themeColor="accent1" w:themeShade="BF"/>
      <w:sz w:val="32"/>
      <w:szCs w:val="3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0591576">
      <w:bodyDiv w:val="1"/>
      <w:marLeft w:val="0"/>
      <w:marRight w:val="0"/>
      <w:marTop w:val="0"/>
      <w:marBottom w:val="0"/>
      <w:divBdr>
        <w:top w:val="none" w:sz="0" w:space="0" w:color="auto"/>
        <w:left w:val="none" w:sz="0" w:space="0" w:color="auto"/>
        <w:bottom w:val="none" w:sz="0" w:space="0" w:color="auto"/>
        <w:right w:val="none" w:sz="0" w:space="0" w:color="auto"/>
      </w:divBdr>
    </w:div>
    <w:div w:id="1057506681">
      <w:bodyDiv w:val="1"/>
      <w:marLeft w:val="0"/>
      <w:marRight w:val="0"/>
      <w:marTop w:val="0"/>
      <w:marBottom w:val="0"/>
      <w:divBdr>
        <w:top w:val="none" w:sz="0" w:space="0" w:color="auto"/>
        <w:left w:val="none" w:sz="0" w:space="0" w:color="auto"/>
        <w:bottom w:val="none" w:sz="0" w:space="0" w:color="auto"/>
        <w:right w:val="none" w:sz="0" w:space="0" w:color="auto"/>
      </w:divBdr>
    </w:div>
    <w:div w:id="1524050726">
      <w:bodyDiv w:val="1"/>
      <w:marLeft w:val="0"/>
      <w:marRight w:val="0"/>
      <w:marTop w:val="0"/>
      <w:marBottom w:val="0"/>
      <w:divBdr>
        <w:top w:val="none" w:sz="0" w:space="0" w:color="auto"/>
        <w:left w:val="none" w:sz="0" w:space="0" w:color="auto"/>
        <w:bottom w:val="none" w:sz="0" w:space="0" w:color="auto"/>
        <w:right w:val="none" w:sz="0" w:space="0" w:color="auto"/>
      </w:divBdr>
      <w:divsChild>
        <w:div w:id="1980261870">
          <w:marLeft w:val="720"/>
          <w:marRight w:val="0"/>
          <w:marTop w:val="0"/>
          <w:marBottom w:val="0"/>
          <w:divBdr>
            <w:top w:val="none" w:sz="0" w:space="0" w:color="auto"/>
            <w:left w:val="none" w:sz="0" w:space="0" w:color="auto"/>
            <w:bottom w:val="none" w:sz="0" w:space="0" w:color="auto"/>
            <w:right w:val="none" w:sz="0" w:space="0" w:color="auto"/>
          </w:divBdr>
        </w:div>
        <w:div w:id="86460266">
          <w:marLeft w:val="720"/>
          <w:marRight w:val="0"/>
          <w:marTop w:val="0"/>
          <w:marBottom w:val="0"/>
          <w:divBdr>
            <w:top w:val="none" w:sz="0" w:space="0" w:color="auto"/>
            <w:left w:val="none" w:sz="0" w:space="0" w:color="auto"/>
            <w:bottom w:val="none" w:sz="0" w:space="0" w:color="auto"/>
            <w:right w:val="none" w:sz="0" w:space="0" w:color="auto"/>
          </w:divBdr>
        </w:div>
        <w:div w:id="1177844100">
          <w:marLeft w:val="720"/>
          <w:marRight w:val="0"/>
          <w:marTop w:val="0"/>
          <w:marBottom w:val="0"/>
          <w:divBdr>
            <w:top w:val="none" w:sz="0" w:space="0" w:color="auto"/>
            <w:left w:val="none" w:sz="0" w:space="0" w:color="auto"/>
            <w:bottom w:val="none" w:sz="0" w:space="0" w:color="auto"/>
            <w:right w:val="none" w:sz="0" w:space="0" w:color="auto"/>
          </w:divBdr>
        </w:div>
        <w:div w:id="2086146229">
          <w:marLeft w:val="720"/>
          <w:marRight w:val="0"/>
          <w:marTop w:val="0"/>
          <w:marBottom w:val="0"/>
          <w:divBdr>
            <w:top w:val="none" w:sz="0" w:space="0" w:color="auto"/>
            <w:left w:val="none" w:sz="0" w:space="0" w:color="auto"/>
            <w:bottom w:val="none" w:sz="0" w:space="0" w:color="auto"/>
            <w:right w:val="none" w:sz="0" w:space="0" w:color="auto"/>
          </w:divBdr>
        </w:div>
        <w:div w:id="234898202">
          <w:marLeft w:val="720"/>
          <w:marRight w:val="0"/>
          <w:marTop w:val="0"/>
          <w:marBottom w:val="0"/>
          <w:divBdr>
            <w:top w:val="none" w:sz="0" w:space="0" w:color="auto"/>
            <w:left w:val="none" w:sz="0" w:space="0" w:color="auto"/>
            <w:bottom w:val="none" w:sz="0" w:space="0" w:color="auto"/>
            <w:right w:val="none" w:sz="0" w:space="0" w:color="auto"/>
          </w:divBdr>
        </w:div>
        <w:div w:id="1427076588">
          <w:marLeft w:val="720"/>
          <w:marRight w:val="0"/>
          <w:marTop w:val="0"/>
          <w:marBottom w:val="0"/>
          <w:divBdr>
            <w:top w:val="none" w:sz="0" w:space="0" w:color="auto"/>
            <w:left w:val="none" w:sz="0" w:space="0" w:color="auto"/>
            <w:bottom w:val="none" w:sz="0" w:space="0" w:color="auto"/>
            <w:right w:val="none" w:sz="0" w:space="0" w:color="auto"/>
          </w:divBdr>
        </w:div>
        <w:div w:id="381906092">
          <w:marLeft w:val="720"/>
          <w:marRight w:val="0"/>
          <w:marTop w:val="0"/>
          <w:marBottom w:val="0"/>
          <w:divBdr>
            <w:top w:val="none" w:sz="0" w:space="0" w:color="auto"/>
            <w:left w:val="none" w:sz="0" w:space="0" w:color="auto"/>
            <w:bottom w:val="none" w:sz="0" w:space="0" w:color="auto"/>
            <w:right w:val="none" w:sz="0" w:space="0" w:color="auto"/>
          </w:divBdr>
        </w:div>
        <w:div w:id="801122389">
          <w:marLeft w:val="720"/>
          <w:marRight w:val="0"/>
          <w:marTop w:val="0"/>
          <w:marBottom w:val="0"/>
          <w:divBdr>
            <w:top w:val="none" w:sz="0" w:space="0" w:color="auto"/>
            <w:left w:val="none" w:sz="0" w:space="0" w:color="auto"/>
            <w:bottom w:val="none" w:sz="0" w:space="0" w:color="auto"/>
            <w:right w:val="none" w:sz="0" w:space="0" w:color="auto"/>
          </w:divBdr>
        </w:div>
        <w:div w:id="1325544759">
          <w:marLeft w:val="720"/>
          <w:marRight w:val="0"/>
          <w:marTop w:val="0"/>
          <w:marBottom w:val="0"/>
          <w:divBdr>
            <w:top w:val="none" w:sz="0" w:space="0" w:color="auto"/>
            <w:left w:val="none" w:sz="0" w:space="0" w:color="auto"/>
            <w:bottom w:val="none" w:sz="0" w:space="0" w:color="auto"/>
            <w:right w:val="none" w:sz="0" w:space="0" w:color="auto"/>
          </w:divBdr>
        </w:div>
        <w:div w:id="153684027">
          <w:marLeft w:val="720"/>
          <w:marRight w:val="0"/>
          <w:marTop w:val="0"/>
          <w:marBottom w:val="0"/>
          <w:divBdr>
            <w:top w:val="none" w:sz="0" w:space="0" w:color="auto"/>
            <w:left w:val="none" w:sz="0" w:space="0" w:color="auto"/>
            <w:bottom w:val="none" w:sz="0" w:space="0" w:color="auto"/>
            <w:right w:val="none" w:sz="0" w:space="0" w:color="auto"/>
          </w:divBdr>
        </w:div>
        <w:div w:id="1462575722">
          <w:marLeft w:val="720"/>
          <w:marRight w:val="0"/>
          <w:marTop w:val="0"/>
          <w:marBottom w:val="0"/>
          <w:divBdr>
            <w:top w:val="none" w:sz="0" w:space="0" w:color="auto"/>
            <w:left w:val="none" w:sz="0" w:space="0" w:color="auto"/>
            <w:bottom w:val="none" w:sz="0" w:space="0" w:color="auto"/>
            <w:right w:val="none" w:sz="0" w:space="0" w:color="auto"/>
          </w:divBdr>
        </w:div>
      </w:divsChild>
    </w:div>
    <w:div w:id="2136436973">
      <w:bodyDiv w:val="1"/>
      <w:marLeft w:val="0"/>
      <w:marRight w:val="0"/>
      <w:marTop w:val="0"/>
      <w:marBottom w:val="0"/>
      <w:divBdr>
        <w:top w:val="none" w:sz="0" w:space="0" w:color="auto"/>
        <w:left w:val="none" w:sz="0" w:space="0" w:color="auto"/>
        <w:bottom w:val="none" w:sz="0" w:space="0" w:color="auto"/>
        <w:right w:val="none" w:sz="0" w:space="0" w:color="auto"/>
      </w:divBdr>
      <w:divsChild>
        <w:div w:id="1460028603">
          <w:marLeft w:val="0"/>
          <w:marRight w:val="0"/>
          <w:marTop w:val="0"/>
          <w:marBottom w:val="0"/>
          <w:divBdr>
            <w:top w:val="none" w:sz="0" w:space="0" w:color="auto"/>
            <w:left w:val="none" w:sz="0" w:space="0" w:color="auto"/>
            <w:bottom w:val="none" w:sz="0" w:space="0" w:color="auto"/>
            <w:right w:val="none" w:sz="0" w:space="0" w:color="auto"/>
          </w:divBdr>
        </w:div>
        <w:div w:id="1574587496">
          <w:marLeft w:val="0"/>
          <w:marRight w:val="0"/>
          <w:marTop w:val="0"/>
          <w:marBottom w:val="0"/>
          <w:divBdr>
            <w:top w:val="none" w:sz="0" w:space="0" w:color="auto"/>
            <w:left w:val="none" w:sz="0" w:space="0" w:color="auto"/>
            <w:bottom w:val="none" w:sz="0" w:space="0" w:color="auto"/>
            <w:right w:val="none" w:sz="0" w:space="0" w:color="auto"/>
          </w:divBdr>
        </w:div>
        <w:div w:id="1274092990">
          <w:marLeft w:val="0"/>
          <w:marRight w:val="0"/>
          <w:marTop w:val="0"/>
          <w:marBottom w:val="0"/>
          <w:divBdr>
            <w:top w:val="none" w:sz="0" w:space="0" w:color="auto"/>
            <w:left w:val="none" w:sz="0" w:space="0" w:color="auto"/>
            <w:bottom w:val="none" w:sz="0" w:space="0" w:color="auto"/>
            <w:right w:val="none" w:sz="0" w:space="0" w:color="auto"/>
          </w:divBdr>
        </w:div>
        <w:div w:id="36585884">
          <w:marLeft w:val="0"/>
          <w:marRight w:val="0"/>
          <w:marTop w:val="0"/>
          <w:marBottom w:val="0"/>
          <w:divBdr>
            <w:top w:val="none" w:sz="0" w:space="0" w:color="auto"/>
            <w:left w:val="none" w:sz="0" w:space="0" w:color="auto"/>
            <w:bottom w:val="none" w:sz="0" w:space="0" w:color="auto"/>
            <w:right w:val="none" w:sz="0" w:space="0" w:color="auto"/>
          </w:divBdr>
        </w:div>
        <w:div w:id="648024499">
          <w:marLeft w:val="0"/>
          <w:marRight w:val="0"/>
          <w:marTop w:val="0"/>
          <w:marBottom w:val="0"/>
          <w:divBdr>
            <w:top w:val="none" w:sz="0" w:space="0" w:color="auto"/>
            <w:left w:val="none" w:sz="0" w:space="0" w:color="auto"/>
            <w:bottom w:val="none" w:sz="0" w:space="0" w:color="auto"/>
            <w:right w:val="none" w:sz="0" w:space="0" w:color="auto"/>
          </w:divBdr>
        </w:div>
        <w:div w:id="2065833641">
          <w:marLeft w:val="0"/>
          <w:marRight w:val="0"/>
          <w:marTop w:val="0"/>
          <w:marBottom w:val="0"/>
          <w:divBdr>
            <w:top w:val="none" w:sz="0" w:space="0" w:color="auto"/>
            <w:left w:val="none" w:sz="0" w:space="0" w:color="auto"/>
            <w:bottom w:val="none" w:sz="0" w:space="0" w:color="auto"/>
            <w:right w:val="none" w:sz="0" w:space="0" w:color="auto"/>
          </w:divBdr>
        </w:div>
        <w:div w:id="992955294">
          <w:marLeft w:val="0"/>
          <w:marRight w:val="0"/>
          <w:marTop w:val="0"/>
          <w:marBottom w:val="0"/>
          <w:divBdr>
            <w:top w:val="none" w:sz="0" w:space="0" w:color="auto"/>
            <w:left w:val="none" w:sz="0" w:space="0" w:color="auto"/>
            <w:bottom w:val="none" w:sz="0" w:space="0" w:color="auto"/>
            <w:right w:val="none" w:sz="0" w:space="0" w:color="auto"/>
          </w:divBdr>
        </w:div>
        <w:div w:id="236282463">
          <w:marLeft w:val="0"/>
          <w:marRight w:val="0"/>
          <w:marTop w:val="0"/>
          <w:marBottom w:val="0"/>
          <w:divBdr>
            <w:top w:val="none" w:sz="0" w:space="0" w:color="auto"/>
            <w:left w:val="none" w:sz="0" w:space="0" w:color="auto"/>
            <w:bottom w:val="none" w:sz="0" w:space="0" w:color="auto"/>
            <w:right w:val="none" w:sz="0" w:space="0" w:color="auto"/>
          </w:divBdr>
        </w:div>
        <w:div w:id="1967537319">
          <w:marLeft w:val="0"/>
          <w:marRight w:val="0"/>
          <w:marTop w:val="0"/>
          <w:marBottom w:val="0"/>
          <w:divBdr>
            <w:top w:val="none" w:sz="0" w:space="0" w:color="auto"/>
            <w:left w:val="none" w:sz="0" w:space="0" w:color="auto"/>
            <w:bottom w:val="none" w:sz="0" w:space="0" w:color="auto"/>
            <w:right w:val="none" w:sz="0" w:space="0" w:color="auto"/>
          </w:divBdr>
        </w:div>
        <w:div w:id="1734500918">
          <w:marLeft w:val="0"/>
          <w:marRight w:val="0"/>
          <w:marTop w:val="0"/>
          <w:marBottom w:val="0"/>
          <w:divBdr>
            <w:top w:val="none" w:sz="0" w:space="0" w:color="auto"/>
            <w:left w:val="none" w:sz="0" w:space="0" w:color="auto"/>
            <w:bottom w:val="none" w:sz="0" w:space="0" w:color="auto"/>
            <w:right w:val="none" w:sz="0" w:space="0" w:color="auto"/>
          </w:divBdr>
        </w:div>
        <w:div w:id="1397245490">
          <w:marLeft w:val="0"/>
          <w:marRight w:val="0"/>
          <w:marTop w:val="0"/>
          <w:marBottom w:val="0"/>
          <w:divBdr>
            <w:top w:val="none" w:sz="0" w:space="0" w:color="auto"/>
            <w:left w:val="none" w:sz="0" w:space="0" w:color="auto"/>
            <w:bottom w:val="none" w:sz="0" w:space="0" w:color="auto"/>
            <w:right w:val="none" w:sz="0" w:space="0" w:color="auto"/>
          </w:divBdr>
        </w:div>
        <w:div w:id="2039308130">
          <w:marLeft w:val="0"/>
          <w:marRight w:val="0"/>
          <w:marTop w:val="0"/>
          <w:marBottom w:val="0"/>
          <w:divBdr>
            <w:top w:val="none" w:sz="0" w:space="0" w:color="auto"/>
            <w:left w:val="none" w:sz="0" w:space="0" w:color="auto"/>
            <w:bottom w:val="none" w:sz="0" w:space="0" w:color="auto"/>
            <w:right w:val="none" w:sz="0" w:space="0" w:color="auto"/>
          </w:divBdr>
        </w:div>
        <w:div w:id="1669553683">
          <w:marLeft w:val="0"/>
          <w:marRight w:val="0"/>
          <w:marTop w:val="0"/>
          <w:marBottom w:val="0"/>
          <w:divBdr>
            <w:top w:val="none" w:sz="0" w:space="0" w:color="auto"/>
            <w:left w:val="none" w:sz="0" w:space="0" w:color="auto"/>
            <w:bottom w:val="none" w:sz="0" w:space="0" w:color="auto"/>
            <w:right w:val="none" w:sz="0" w:space="0" w:color="auto"/>
          </w:divBdr>
        </w:div>
        <w:div w:id="457261623">
          <w:marLeft w:val="0"/>
          <w:marRight w:val="0"/>
          <w:marTop w:val="0"/>
          <w:marBottom w:val="0"/>
          <w:divBdr>
            <w:top w:val="none" w:sz="0" w:space="0" w:color="auto"/>
            <w:left w:val="none" w:sz="0" w:space="0" w:color="auto"/>
            <w:bottom w:val="none" w:sz="0" w:space="0" w:color="auto"/>
            <w:right w:val="none" w:sz="0" w:space="0" w:color="auto"/>
          </w:divBdr>
        </w:div>
        <w:div w:id="1658000491">
          <w:marLeft w:val="0"/>
          <w:marRight w:val="0"/>
          <w:marTop w:val="0"/>
          <w:marBottom w:val="0"/>
          <w:divBdr>
            <w:top w:val="none" w:sz="0" w:space="0" w:color="auto"/>
            <w:left w:val="none" w:sz="0" w:space="0" w:color="auto"/>
            <w:bottom w:val="none" w:sz="0" w:space="0" w:color="auto"/>
            <w:right w:val="none" w:sz="0" w:space="0" w:color="auto"/>
          </w:divBdr>
        </w:div>
        <w:div w:id="1744909897">
          <w:marLeft w:val="0"/>
          <w:marRight w:val="0"/>
          <w:marTop w:val="0"/>
          <w:marBottom w:val="0"/>
          <w:divBdr>
            <w:top w:val="none" w:sz="0" w:space="0" w:color="auto"/>
            <w:left w:val="none" w:sz="0" w:space="0" w:color="auto"/>
            <w:bottom w:val="none" w:sz="0" w:space="0" w:color="auto"/>
            <w:right w:val="none" w:sz="0" w:space="0" w:color="auto"/>
          </w:divBdr>
        </w:div>
        <w:div w:id="438838631">
          <w:marLeft w:val="0"/>
          <w:marRight w:val="0"/>
          <w:marTop w:val="0"/>
          <w:marBottom w:val="0"/>
          <w:divBdr>
            <w:top w:val="none" w:sz="0" w:space="0" w:color="auto"/>
            <w:left w:val="none" w:sz="0" w:space="0" w:color="auto"/>
            <w:bottom w:val="none" w:sz="0" w:space="0" w:color="auto"/>
            <w:right w:val="none" w:sz="0" w:space="0" w:color="auto"/>
          </w:divBdr>
        </w:div>
        <w:div w:id="72040181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ire:%20%20c.sanders@tcu.edu" TargetMode="External"/><Relationship Id="rId3" Type="http://schemas.openxmlformats.org/officeDocument/2006/relationships/settings" Target="settings.xml"/><Relationship Id="rId7" Type="http://schemas.openxmlformats.org/officeDocument/2006/relationships/hyperlink" Target="https://provost.tcu.edu/academic-affairs-priorit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ean.atkinson@tcu.edu"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2014</Words>
  <Characters>11482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Texas Christian University</Company>
  <LinksUpToDate>false</LinksUpToDate>
  <CharactersWithSpaces>13470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Stephens, Greg</dc:creator>
  <cp:lastModifiedBy>Scott, Krista</cp:lastModifiedBy>
  <cp:revision>3</cp:revision>
  <cp:lastPrinted>2020-01-30T18:36:00Z</cp:lastPrinted>
  <dcterms:created xsi:type="dcterms:W3CDTF">2020-04-02T12:59:00Z</dcterms:created>
  <dcterms:modified xsi:type="dcterms:W3CDTF">2020-04-22T16:44:00Z</dcterms:modified>
</cp:coreProperties>
</file>