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73084" w14:textId="59AD9182" w:rsidR="00790964" w:rsidRPr="005A4434" w:rsidRDefault="00790964" w:rsidP="003324E7">
      <w:pPr>
        <w:spacing w:line="240" w:lineRule="auto"/>
        <w:contextualSpacing/>
        <w:jc w:val="center"/>
        <w:rPr>
          <w:rFonts w:ascii="Garamond" w:hAnsi="Garamond"/>
          <w:i/>
          <w:iCs/>
          <w:sz w:val="28"/>
          <w:szCs w:val="24"/>
        </w:rPr>
      </w:pPr>
      <w:r w:rsidRPr="005A4434">
        <w:rPr>
          <w:rFonts w:ascii="Garamond" w:hAnsi="Garamond"/>
          <w:i/>
          <w:iCs/>
          <w:sz w:val="28"/>
          <w:szCs w:val="24"/>
        </w:rPr>
        <w:t xml:space="preserve">Diversity, Equity, and Inclusion Essential Competency </w:t>
      </w:r>
      <w:r w:rsidR="003324E7" w:rsidRPr="005A4434">
        <w:rPr>
          <w:rFonts w:ascii="Garamond" w:hAnsi="Garamond"/>
          <w:i/>
          <w:iCs/>
          <w:sz w:val="28"/>
          <w:szCs w:val="24"/>
        </w:rPr>
        <w:t>(DEI EC)</w:t>
      </w:r>
    </w:p>
    <w:p w14:paraId="01C834EF" w14:textId="2EEC9B79" w:rsidR="003324E7" w:rsidRDefault="003324E7" w:rsidP="003324E7">
      <w:pPr>
        <w:spacing w:line="240" w:lineRule="auto"/>
        <w:contextualSpacing/>
        <w:jc w:val="center"/>
        <w:rPr>
          <w:rFonts w:ascii="Garamond" w:hAnsi="Garamond"/>
          <w:sz w:val="28"/>
          <w:szCs w:val="24"/>
        </w:rPr>
      </w:pPr>
      <w:r w:rsidRPr="005A4434">
        <w:rPr>
          <w:rFonts w:ascii="Garamond" w:hAnsi="Garamond"/>
          <w:sz w:val="28"/>
          <w:szCs w:val="24"/>
        </w:rPr>
        <w:t>Assessment Plan</w:t>
      </w:r>
    </w:p>
    <w:p w14:paraId="46153511" w14:textId="3D876670" w:rsidR="00B51F06" w:rsidRPr="005A4434" w:rsidRDefault="002405D6" w:rsidP="003324E7">
      <w:pPr>
        <w:spacing w:line="240" w:lineRule="auto"/>
        <w:contextualSpacing/>
        <w:jc w:val="center"/>
        <w:rPr>
          <w:rFonts w:ascii="Garamond" w:hAnsi="Garamond"/>
          <w:sz w:val="28"/>
          <w:szCs w:val="24"/>
        </w:rPr>
      </w:pPr>
      <w:r>
        <w:rPr>
          <w:rFonts w:ascii="Garamond" w:hAnsi="Garamond"/>
          <w:sz w:val="28"/>
          <w:szCs w:val="24"/>
        </w:rPr>
        <w:t>2</w:t>
      </w:r>
      <w:r w:rsidR="00BA20D5">
        <w:rPr>
          <w:rFonts w:ascii="Garamond" w:hAnsi="Garamond"/>
          <w:sz w:val="28"/>
          <w:szCs w:val="24"/>
        </w:rPr>
        <w:t>7</w:t>
      </w:r>
      <w:bookmarkStart w:id="0" w:name="_GoBack"/>
      <w:bookmarkEnd w:id="0"/>
      <w:r w:rsidR="00B51F06">
        <w:rPr>
          <w:rFonts w:ascii="Garamond" w:hAnsi="Garamond"/>
          <w:sz w:val="28"/>
          <w:szCs w:val="24"/>
        </w:rPr>
        <w:t xml:space="preserve"> November 2019</w:t>
      </w:r>
    </w:p>
    <w:p w14:paraId="0807D114" w14:textId="77777777" w:rsidR="00B51F06" w:rsidRPr="00D01C0A" w:rsidRDefault="00B51F06" w:rsidP="00DF23E4">
      <w:pPr>
        <w:spacing w:line="240" w:lineRule="auto"/>
        <w:contextualSpacing/>
        <w:rPr>
          <w:rFonts w:ascii="Garamond" w:hAnsi="Garamond"/>
          <w:iCs/>
          <w:sz w:val="24"/>
          <w:szCs w:val="24"/>
        </w:rPr>
      </w:pPr>
    </w:p>
    <w:p w14:paraId="550CDE66" w14:textId="77777777" w:rsidR="003809EB" w:rsidRPr="005A4434" w:rsidRDefault="003809EB" w:rsidP="003809EB">
      <w:pPr>
        <w:spacing w:line="240" w:lineRule="auto"/>
        <w:contextualSpacing/>
        <w:rPr>
          <w:rFonts w:ascii="Garamond" w:hAnsi="Garamond"/>
          <w:b/>
          <w:sz w:val="24"/>
          <w:szCs w:val="24"/>
        </w:rPr>
      </w:pPr>
      <w:bookmarkStart w:id="1" w:name="_Hlk25328593"/>
      <w:r>
        <w:rPr>
          <w:rFonts w:ascii="Garamond" w:hAnsi="Garamond"/>
          <w:b/>
          <w:sz w:val="28"/>
          <w:szCs w:val="24"/>
        </w:rPr>
        <w:t xml:space="preserve">I. </w:t>
      </w:r>
      <w:r w:rsidRPr="00B5361D">
        <w:rPr>
          <w:rFonts w:ascii="Garamond" w:hAnsi="Garamond"/>
          <w:b/>
          <w:sz w:val="28"/>
          <w:szCs w:val="24"/>
        </w:rPr>
        <w:t>Assessment of Courses:</w:t>
      </w:r>
    </w:p>
    <w:p w14:paraId="69BCDA93" w14:textId="1806D1F0" w:rsidR="003809EB" w:rsidRPr="00B51F06" w:rsidRDefault="003809EB" w:rsidP="003809EB">
      <w:pPr>
        <w:spacing w:line="240" w:lineRule="auto"/>
        <w:contextualSpacing/>
        <w:rPr>
          <w:rFonts w:ascii="Garamond" w:hAnsi="Garamond"/>
          <w:sz w:val="24"/>
          <w:szCs w:val="24"/>
        </w:rPr>
      </w:pPr>
      <w:r w:rsidRPr="00B51F06">
        <w:rPr>
          <w:rFonts w:ascii="Garamond" w:hAnsi="Garamond"/>
          <w:sz w:val="24"/>
          <w:szCs w:val="24"/>
        </w:rPr>
        <w:t xml:space="preserve">The Assessment Subcommittee of the DEI Essential Competency Committee courses </w:t>
      </w:r>
      <w:r>
        <w:rPr>
          <w:rFonts w:ascii="Garamond" w:hAnsi="Garamond"/>
          <w:sz w:val="24"/>
          <w:szCs w:val="24"/>
        </w:rPr>
        <w:t xml:space="preserve">will assess DEI EC course on </w:t>
      </w:r>
      <w:r w:rsidRPr="00B51F06">
        <w:rPr>
          <w:rFonts w:ascii="Garamond" w:hAnsi="Garamond"/>
          <w:sz w:val="24"/>
          <w:szCs w:val="24"/>
        </w:rPr>
        <w:t>a rolling basis, see the DEI Essential Competency Committee Charter.</w:t>
      </w:r>
    </w:p>
    <w:p w14:paraId="4023F7DF" w14:textId="77777777" w:rsidR="003809EB" w:rsidRDefault="003809EB" w:rsidP="003809EB">
      <w:pPr>
        <w:spacing w:line="240" w:lineRule="auto"/>
        <w:contextualSpacing/>
        <w:rPr>
          <w:rFonts w:ascii="Garamond" w:hAnsi="Garamond"/>
          <w:sz w:val="24"/>
          <w:szCs w:val="24"/>
        </w:rPr>
      </w:pPr>
    </w:p>
    <w:p w14:paraId="58E06C44" w14:textId="4D51E921" w:rsidR="00D04FB3" w:rsidRPr="00D04FB3" w:rsidRDefault="00D01C0A" w:rsidP="00D04FB3">
      <w:pPr>
        <w:spacing w:line="240" w:lineRule="auto"/>
        <w:contextualSpacing/>
        <w:rPr>
          <w:rFonts w:ascii="Garamond" w:hAnsi="Garamond"/>
          <w:sz w:val="24"/>
          <w:szCs w:val="24"/>
        </w:rPr>
      </w:pPr>
      <w:r w:rsidRPr="00D01C0A">
        <w:rPr>
          <w:rFonts w:ascii="Garamond" w:hAnsi="Garamond"/>
          <w:sz w:val="24"/>
          <w:szCs w:val="24"/>
        </w:rPr>
        <w:t>Using the information faculty submitted when vetting courses for the DEI Essential Competency, the DEI EC Assessment Subcommittee will collect a representative sample of DEI EC courses taught across colleges and schools in each academic year. In addition, the DEI EC Assessment Subcommittee will utilize a random sampling method to assess courses within a particular college or school to ensure that courses are not overrepresented or underrepresented from any single academic department or unit on campus. The DEI EC Assessment Subcommittee will request artifacts of student learning indicated on the vetting form, and review those artifacts to determine how well students met the DEI EC competency</w:t>
      </w:r>
      <w:r w:rsidRPr="00D04FB3">
        <w:rPr>
          <w:rFonts w:ascii="Garamond" w:hAnsi="Garamond"/>
          <w:sz w:val="24"/>
          <w:szCs w:val="24"/>
        </w:rPr>
        <w:t xml:space="preserve">. </w:t>
      </w:r>
      <w:r w:rsidR="00D04FB3" w:rsidRPr="00D04FB3">
        <w:rPr>
          <w:rFonts w:ascii="Garamond" w:hAnsi="Garamond"/>
          <w:sz w:val="24"/>
          <w:szCs w:val="24"/>
        </w:rPr>
        <w:t xml:space="preserve">The Assessment Subcommittee should work with the Director of </w:t>
      </w:r>
      <w:r w:rsidR="00D04FB3" w:rsidRPr="00D04FB3">
        <w:rPr>
          <w:rFonts w:ascii="Garamond" w:hAnsi="Garamond" w:cs="Arial"/>
          <w:sz w:val="24"/>
          <w:szCs w:val="24"/>
        </w:rPr>
        <w:t>Institutional Effectiveness and Institutional Accreditation</w:t>
      </w:r>
      <w:r w:rsidR="00D04FB3" w:rsidRPr="00D04FB3">
        <w:rPr>
          <w:rFonts w:ascii="Garamond" w:hAnsi="Garamond"/>
          <w:sz w:val="24"/>
          <w:szCs w:val="24"/>
        </w:rPr>
        <w:t xml:space="preserve"> to develop an appropriate assessment strategy and assessment tools that </w:t>
      </w:r>
      <w:r w:rsidR="005D2C27">
        <w:rPr>
          <w:rFonts w:ascii="Garamond" w:hAnsi="Garamond"/>
          <w:sz w:val="24"/>
          <w:szCs w:val="24"/>
        </w:rPr>
        <w:t xml:space="preserve">align </w:t>
      </w:r>
      <w:r w:rsidR="00D04FB3" w:rsidRPr="00D04FB3">
        <w:rPr>
          <w:rFonts w:ascii="Garamond" w:hAnsi="Garamond"/>
          <w:sz w:val="24"/>
          <w:szCs w:val="24"/>
        </w:rPr>
        <w:t>with the competency statement for the DEI EC.</w:t>
      </w:r>
    </w:p>
    <w:p w14:paraId="0A6E11EB" w14:textId="56CB85FF" w:rsidR="00D01C0A" w:rsidRPr="00D01C0A" w:rsidRDefault="00D01C0A" w:rsidP="00D04FB3">
      <w:pPr>
        <w:spacing w:line="240" w:lineRule="auto"/>
        <w:contextualSpacing/>
        <w:rPr>
          <w:rFonts w:ascii="Garamond" w:hAnsi="Garamond"/>
          <w:sz w:val="24"/>
          <w:szCs w:val="24"/>
        </w:rPr>
      </w:pPr>
    </w:p>
    <w:p w14:paraId="3BB2245C" w14:textId="77777777" w:rsidR="00D01C0A" w:rsidRPr="00D01C0A" w:rsidRDefault="00D01C0A" w:rsidP="00D04FB3">
      <w:pPr>
        <w:spacing w:line="240" w:lineRule="auto"/>
        <w:contextualSpacing/>
        <w:rPr>
          <w:rFonts w:ascii="Garamond" w:hAnsi="Garamond"/>
          <w:sz w:val="24"/>
          <w:szCs w:val="24"/>
        </w:rPr>
      </w:pPr>
      <w:r w:rsidRPr="00D01C0A">
        <w:rPr>
          <w:rFonts w:ascii="Garamond" w:hAnsi="Garamond"/>
          <w:sz w:val="24"/>
          <w:szCs w:val="24"/>
        </w:rPr>
        <w:t>The DEI EC Assessment Subcommittee will share outcomes of the assessment with faculty, widely, and especially with faculty who taught DEI EC course in that academic year.</w:t>
      </w:r>
    </w:p>
    <w:bookmarkEnd w:id="1"/>
    <w:p w14:paraId="3C29BBE8" w14:textId="77777777" w:rsidR="00D01C0A" w:rsidRPr="00D01C0A" w:rsidRDefault="00D01C0A" w:rsidP="00D04FB3">
      <w:pPr>
        <w:spacing w:line="240" w:lineRule="auto"/>
        <w:contextualSpacing/>
        <w:rPr>
          <w:rFonts w:ascii="Garamond" w:hAnsi="Garamond"/>
          <w:sz w:val="24"/>
          <w:szCs w:val="24"/>
        </w:rPr>
      </w:pPr>
    </w:p>
    <w:p w14:paraId="281A8EFF" w14:textId="77777777" w:rsidR="00D01C0A" w:rsidRPr="00D01C0A" w:rsidRDefault="00D01C0A" w:rsidP="00D04FB3">
      <w:pPr>
        <w:spacing w:line="240" w:lineRule="auto"/>
        <w:contextualSpacing/>
        <w:rPr>
          <w:rFonts w:ascii="Garamond" w:hAnsi="Garamond"/>
          <w:sz w:val="24"/>
          <w:szCs w:val="24"/>
        </w:rPr>
      </w:pPr>
      <w:r w:rsidRPr="00D01C0A">
        <w:rPr>
          <w:rFonts w:ascii="Garamond" w:hAnsi="Garamond"/>
          <w:sz w:val="24"/>
          <w:szCs w:val="24"/>
        </w:rPr>
        <w:t>See information below, regarding</w:t>
      </w:r>
      <w:r w:rsidRPr="00D01C0A">
        <w:rPr>
          <w:rFonts w:ascii="Garamond" w:hAnsi="Garamond"/>
          <w:b/>
          <w:sz w:val="24"/>
          <w:szCs w:val="24"/>
        </w:rPr>
        <w:t xml:space="preserve"> Assessment of learning goals/institutional goals.</w:t>
      </w:r>
    </w:p>
    <w:p w14:paraId="1DEC8CB4" w14:textId="77777777" w:rsidR="00D01C0A" w:rsidRPr="00D01C0A" w:rsidRDefault="00D01C0A" w:rsidP="003809EB">
      <w:pPr>
        <w:spacing w:line="240" w:lineRule="auto"/>
        <w:contextualSpacing/>
        <w:rPr>
          <w:rFonts w:ascii="Garamond" w:hAnsi="Garamond"/>
          <w:sz w:val="24"/>
          <w:szCs w:val="24"/>
        </w:rPr>
      </w:pPr>
    </w:p>
    <w:p w14:paraId="16DE947C" w14:textId="77777777" w:rsidR="00D01C0A" w:rsidRPr="00D01C0A" w:rsidRDefault="00D01C0A" w:rsidP="003809EB">
      <w:pPr>
        <w:spacing w:line="240" w:lineRule="auto"/>
        <w:contextualSpacing/>
        <w:rPr>
          <w:rFonts w:ascii="Garamond" w:hAnsi="Garamond"/>
          <w:sz w:val="24"/>
          <w:szCs w:val="24"/>
        </w:rPr>
      </w:pPr>
      <w:r w:rsidRPr="00D01C0A">
        <w:rPr>
          <w:rFonts w:ascii="Garamond" w:hAnsi="Garamond"/>
          <w:b/>
          <w:sz w:val="24"/>
          <w:szCs w:val="24"/>
        </w:rPr>
        <w:t>II. Assessment of Institutional Goals:</w:t>
      </w:r>
    </w:p>
    <w:p w14:paraId="73F30A46" w14:textId="77777777" w:rsidR="00D01C0A" w:rsidRPr="00D01C0A" w:rsidRDefault="00D01C0A" w:rsidP="003809EB">
      <w:pPr>
        <w:spacing w:line="240" w:lineRule="auto"/>
        <w:contextualSpacing/>
        <w:rPr>
          <w:rFonts w:ascii="Garamond" w:hAnsi="Garamond"/>
          <w:sz w:val="24"/>
          <w:szCs w:val="24"/>
        </w:rPr>
      </w:pPr>
      <w:r w:rsidRPr="00D01C0A">
        <w:rPr>
          <w:rFonts w:ascii="Garamond" w:hAnsi="Garamond"/>
          <w:sz w:val="24"/>
          <w:szCs w:val="24"/>
        </w:rPr>
        <w:t xml:space="preserve">A. </w:t>
      </w:r>
      <w:bookmarkStart w:id="2" w:name="_Hlk25328647"/>
      <w:r w:rsidRPr="00D01C0A">
        <w:rPr>
          <w:rFonts w:ascii="Garamond" w:hAnsi="Garamond"/>
          <w:sz w:val="24"/>
          <w:szCs w:val="24"/>
        </w:rPr>
        <w:t xml:space="preserve">The DEI Essential Competency Committee and Assessment Subcommittee will work with Director of </w:t>
      </w:r>
      <w:r w:rsidRPr="00D01C0A">
        <w:rPr>
          <w:rFonts w:ascii="Garamond" w:hAnsi="Garamond" w:cs="Arial"/>
          <w:sz w:val="24"/>
          <w:szCs w:val="24"/>
        </w:rPr>
        <w:t xml:space="preserve">Institutional Effectiveness and Institutional Accreditation </w:t>
      </w:r>
      <w:r w:rsidRPr="00D01C0A">
        <w:rPr>
          <w:rFonts w:ascii="Garamond" w:hAnsi="Garamond"/>
          <w:sz w:val="24"/>
          <w:szCs w:val="24"/>
        </w:rPr>
        <w:t>to create a brief survey aligned with concepts in the Intercultural Competence work, and designed to capture data on:</w:t>
      </w:r>
    </w:p>
    <w:p w14:paraId="4DDE063B" w14:textId="77777777" w:rsidR="00D01C0A" w:rsidRPr="00D01C0A" w:rsidRDefault="00D01C0A" w:rsidP="003809EB">
      <w:pPr>
        <w:pStyle w:val="paragraph"/>
        <w:numPr>
          <w:ilvl w:val="0"/>
          <w:numId w:val="6"/>
        </w:numPr>
        <w:spacing w:before="0" w:beforeAutospacing="0" w:after="0" w:afterAutospacing="0"/>
        <w:contextualSpacing/>
        <w:textAlignment w:val="baseline"/>
        <w:rPr>
          <w:rFonts w:ascii="Garamond" w:hAnsi="Garamond" w:cs="Calibri"/>
        </w:rPr>
      </w:pPr>
      <w:r w:rsidRPr="00D01C0A">
        <w:rPr>
          <w:rStyle w:val="normaltextrun"/>
          <w:rFonts w:ascii="Garamond" w:hAnsi="Garamond" w:cs="Calibri"/>
        </w:rPr>
        <w:t>Student and faculty perceptions of DEI efforts, including the degree to which participants report they have progressed in terms of the competency statement and as related to the particular student outcomes identified for inclusion in the course (i.e., ability to communicate/engage with and across diverse communities and identities; self-awareness; action; and application to the discipline)</w:t>
      </w:r>
      <w:r w:rsidRPr="00D01C0A">
        <w:rPr>
          <w:rStyle w:val="eop"/>
          <w:rFonts w:ascii="Garamond" w:hAnsi="Garamond" w:cs="Calibri"/>
        </w:rPr>
        <w:t> </w:t>
      </w:r>
    </w:p>
    <w:p w14:paraId="59A1E75D" w14:textId="77777777" w:rsidR="00D01C0A" w:rsidRPr="00D01C0A" w:rsidRDefault="00D01C0A" w:rsidP="003809EB">
      <w:pPr>
        <w:pStyle w:val="paragraph"/>
        <w:numPr>
          <w:ilvl w:val="0"/>
          <w:numId w:val="6"/>
        </w:numPr>
        <w:spacing w:before="0" w:beforeAutospacing="0" w:after="0" w:afterAutospacing="0"/>
        <w:contextualSpacing/>
        <w:textAlignment w:val="baseline"/>
        <w:rPr>
          <w:rFonts w:ascii="Garamond" w:hAnsi="Garamond" w:cs="Calibri"/>
        </w:rPr>
      </w:pPr>
      <w:r w:rsidRPr="00D01C0A">
        <w:rPr>
          <w:rStyle w:val="normaltextrun"/>
          <w:rFonts w:ascii="Garamond" w:hAnsi="Garamond" w:cs="Calibri"/>
        </w:rPr>
        <w:t>Student and faculty perceptions of the value of the work products/artifacts/readings in the course related to DEI efforts</w:t>
      </w:r>
      <w:r w:rsidRPr="00D01C0A">
        <w:rPr>
          <w:rStyle w:val="eop"/>
          <w:rFonts w:ascii="Garamond" w:hAnsi="Garamond" w:cs="Calibri"/>
        </w:rPr>
        <w:t> </w:t>
      </w:r>
    </w:p>
    <w:p w14:paraId="3335C423" w14:textId="77777777" w:rsidR="00D01C0A" w:rsidRPr="00D01C0A" w:rsidRDefault="00D01C0A" w:rsidP="003809EB">
      <w:pPr>
        <w:pStyle w:val="paragraph"/>
        <w:numPr>
          <w:ilvl w:val="0"/>
          <w:numId w:val="6"/>
        </w:numPr>
        <w:spacing w:before="0" w:beforeAutospacing="0" w:after="0" w:afterAutospacing="0"/>
        <w:contextualSpacing/>
        <w:textAlignment w:val="baseline"/>
        <w:rPr>
          <w:rFonts w:ascii="Garamond" w:hAnsi="Garamond" w:cs="Calibri"/>
        </w:rPr>
      </w:pPr>
      <w:r w:rsidRPr="00D01C0A">
        <w:rPr>
          <w:rStyle w:val="normaltextrun"/>
          <w:rFonts w:ascii="Garamond" w:hAnsi="Garamond" w:cs="Calibri"/>
        </w:rPr>
        <w:t>Student and faculty perceptions of the range of “critical social identities” addressed in the course through readings, dialogues, and/or assignments.</w:t>
      </w:r>
      <w:r w:rsidRPr="00D01C0A">
        <w:rPr>
          <w:rStyle w:val="eop"/>
          <w:rFonts w:ascii="Garamond" w:hAnsi="Garamond" w:cs="Calibri"/>
        </w:rPr>
        <w:t> </w:t>
      </w:r>
    </w:p>
    <w:p w14:paraId="30B23507" w14:textId="77777777" w:rsidR="00D01C0A" w:rsidRPr="00D01C0A" w:rsidRDefault="00D01C0A" w:rsidP="003809EB">
      <w:pPr>
        <w:pStyle w:val="paragraph"/>
        <w:numPr>
          <w:ilvl w:val="0"/>
          <w:numId w:val="6"/>
        </w:numPr>
        <w:spacing w:before="0" w:beforeAutospacing="0" w:after="0" w:afterAutospacing="0"/>
        <w:contextualSpacing/>
        <w:textAlignment w:val="baseline"/>
        <w:rPr>
          <w:rFonts w:ascii="Garamond" w:hAnsi="Garamond" w:cs="Calibri"/>
        </w:rPr>
      </w:pPr>
      <w:r w:rsidRPr="00D01C0A">
        <w:rPr>
          <w:rStyle w:val="normaltextrun"/>
          <w:rFonts w:ascii="Garamond" w:hAnsi="Garamond" w:cs="Calibri"/>
        </w:rPr>
        <w:t>Student and faculty connections of learning experiences with application (in personal/professional relationships; in classrooms and/or the workplace; with regard to current events) [open-ended item]</w:t>
      </w:r>
      <w:r w:rsidRPr="00D01C0A">
        <w:rPr>
          <w:rStyle w:val="eop"/>
          <w:rFonts w:ascii="Garamond" w:hAnsi="Garamond" w:cs="Calibri"/>
        </w:rPr>
        <w:t> </w:t>
      </w:r>
    </w:p>
    <w:p w14:paraId="3FA91DDE" w14:textId="4EFC6D16" w:rsidR="00D01C0A" w:rsidRDefault="00D01C0A" w:rsidP="003809EB">
      <w:pPr>
        <w:pStyle w:val="paragraph"/>
        <w:numPr>
          <w:ilvl w:val="0"/>
          <w:numId w:val="6"/>
        </w:numPr>
        <w:spacing w:before="0" w:beforeAutospacing="0" w:after="0" w:afterAutospacing="0"/>
        <w:contextualSpacing/>
        <w:textAlignment w:val="baseline"/>
        <w:rPr>
          <w:rStyle w:val="eop"/>
          <w:rFonts w:ascii="Garamond" w:hAnsi="Garamond" w:cs="Calibri"/>
        </w:rPr>
      </w:pPr>
      <w:r w:rsidRPr="00D01C0A">
        <w:rPr>
          <w:rStyle w:val="normaltextrun"/>
          <w:rFonts w:ascii="Garamond" w:hAnsi="Garamond" w:cs="Calibri"/>
        </w:rPr>
        <w:t>Student and faculty suggestions for strengthening/improvement of the course (or courses) with regard to DEI outcomes [open-ended item]</w:t>
      </w:r>
      <w:r w:rsidRPr="00D01C0A">
        <w:rPr>
          <w:rStyle w:val="eop"/>
          <w:rFonts w:ascii="Garamond" w:hAnsi="Garamond" w:cs="Calibri"/>
        </w:rPr>
        <w:t> </w:t>
      </w:r>
    </w:p>
    <w:p w14:paraId="44F1C726" w14:textId="77777777" w:rsidR="007715CF" w:rsidRDefault="007715CF" w:rsidP="007715CF">
      <w:pPr>
        <w:pStyle w:val="paragraph"/>
        <w:spacing w:before="0" w:beforeAutospacing="0" w:after="0" w:afterAutospacing="0"/>
        <w:contextualSpacing/>
        <w:textAlignment w:val="baseline"/>
        <w:rPr>
          <w:rStyle w:val="eop"/>
          <w:rFonts w:ascii="Garamond" w:hAnsi="Garamond" w:cs="Calibri"/>
        </w:rPr>
      </w:pPr>
    </w:p>
    <w:p w14:paraId="4AE74AB4" w14:textId="77777777" w:rsidR="00D01C0A" w:rsidRPr="00D01C0A" w:rsidRDefault="00D01C0A" w:rsidP="003809EB">
      <w:pPr>
        <w:spacing w:line="240" w:lineRule="auto"/>
        <w:contextualSpacing/>
        <w:rPr>
          <w:rFonts w:ascii="Garamond" w:hAnsi="Garamond"/>
          <w:sz w:val="24"/>
          <w:szCs w:val="24"/>
        </w:rPr>
      </w:pPr>
      <w:r w:rsidRPr="00D01C0A">
        <w:rPr>
          <w:rFonts w:ascii="Garamond" w:hAnsi="Garamond"/>
          <w:sz w:val="24"/>
          <w:szCs w:val="24"/>
        </w:rPr>
        <w:t>This survey would, in the ideal, be deployed approximately ¾ of the way through the semester, with results fed back to instructors for reflection/revision of future courses if needed, and aggregated for presentation in a report to the DEI Essential Competency Committee.</w:t>
      </w:r>
    </w:p>
    <w:p w14:paraId="12471CB9" w14:textId="77777777" w:rsidR="00CC0CD1" w:rsidRDefault="00CC0CD1" w:rsidP="00CC0CD1">
      <w:pPr>
        <w:spacing w:line="240" w:lineRule="auto"/>
        <w:contextualSpacing/>
        <w:rPr>
          <w:rFonts w:ascii="Garamond" w:hAnsi="Garamond"/>
          <w:sz w:val="24"/>
          <w:szCs w:val="24"/>
        </w:rPr>
      </w:pPr>
    </w:p>
    <w:p w14:paraId="2BBB0BD8" w14:textId="31EEBC18" w:rsidR="00D01C0A" w:rsidRPr="00D01C0A" w:rsidRDefault="00D01C0A" w:rsidP="00CC0CD1">
      <w:pPr>
        <w:spacing w:line="240" w:lineRule="auto"/>
        <w:contextualSpacing/>
        <w:rPr>
          <w:rFonts w:ascii="Garamond" w:hAnsi="Garamond"/>
          <w:sz w:val="24"/>
          <w:szCs w:val="24"/>
        </w:rPr>
      </w:pPr>
      <w:r w:rsidRPr="00D01C0A">
        <w:rPr>
          <w:rFonts w:ascii="Garamond" w:hAnsi="Garamond"/>
          <w:sz w:val="24"/>
          <w:szCs w:val="24"/>
        </w:rPr>
        <w:t xml:space="preserve"> B. The DEI Essential Competency Committee and Assessment Subcommittee will develop a checklist/brief report form to be requested of a college/school-level representative selection of randomly sampled DEI EC courses taught that academic year. The checklist/brief report would ask the instructor to:</w:t>
      </w:r>
    </w:p>
    <w:p w14:paraId="41C2319D" w14:textId="77777777" w:rsidR="00D01C0A" w:rsidRPr="00D01C0A" w:rsidRDefault="00D01C0A" w:rsidP="003809EB">
      <w:pPr>
        <w:pStyle w:val="ListParagraph"/>
        <w:numPr>
          <w:ilvl w:val="0"/>
          <w:numId w:val="7"/>
        </w:numPr>
        <w:spacing w:line="240" w:lineRule="auto"/>
        <w:rPr>
          <w:rStyle w:val="normaltextrun"/>
          <w:rFonts w:ascii="Garamond" w:hAnsi="Garamond" w:cs="Calibri"/>
          <w:color w:val="000000"/>
          <w:sz w:val="24"/>
          <w:szCs w:val="24"/>
          <w:bdr w:val="none" w:sz="0" w:space="0" w:color="auto" w:frame="1"/>
        </w:rPr>
      </w:pPr>
      <w:r w:rsidRPr="00D01C0A">
        <w:rPr>
          <w:rStyle w:val="normaltextrun"/>
          <w:rFonts w:ascii="Garamond" w:hAnsi="Garamond" w:cs="Calibri"/>
          <w:color w:val="000000"/>
          <w:sz w:val="24"/>
          <w:szCs w:val="24"/>
          <w:bdr w:val="none" w:sz="0" w:space="0" w:color="auto" w:frame="1"/>
        </w:rPr>
        <w:t>briefly synthesize course-level evidence around student progress on the pertinent learning goals;</w:t>
      </w:r>
    </w:p>
    <w:p w14:paraId="51F62D33" w14:textId="77777777" w:rsidR="00D01C0A" w:rsidRPr="00D01C0A" w:rsidRDefault="00D01C0A" w:rsidP="003809EB">
      <w:pPr>
        <w:pStyle w:val="ListParagraph"/>
        <w:numPr>
          <w:ilvl w:val="0"/>
          <w:numId w:val="7"/>
        </w:numPr>
        <w:spacing w:line="240" w:lineRule="auto"/>
        <w:rPr>
          <w:rStyle w:val="normaltextrun"/>
          <w:rFonts w:ascii="Garamond" w:hAnsi="Garamond"/>
          <w:sz w:val="24"/>
          <w:szCs w:val="24"/>
        </w:rPr>
      </w:pPr>
      <w:r w:rsidRPr="00D01C0A">
        <w:rPr>
          <w:rStyle w:val="normaltextrun"/>
          <w:rFonts w:ascii="Garamond" w:hAnsi="Garamond" w:cs="Calibri"/>
          <w:color w:val="000000"/>
          <w:sz w:val="24"/>
          <w:szCs w:val="24"/>
          <w:bdr w:val="none" w:sz="0" w:space="0" w:color="auto" w:frame="1"/>
        </w:rPr>
        <w:t>provide this brief (100 word, maximum) synthesis of course DEI outcomes;</w:t>
      </w:r>
    </w:p>
    <w:p w14:paraId="6C30DD35" w14:textId="77777777" w:rsidR="00D01C0A" w:rsidRPr="00D01C0A" w:rsidRDefault="00D01C0A" w:rsidP="003809EB">
      <w:pPr>
        <w:pStyle w:val="ListParagraph"/>
        <w:numPr>
          <w:ilvl w:val="0"/>
          <w:numId w:val="7"/>
        </w:numPr>
        <w:spacing w:line="240" w:lineRule="auto"/>
        <w:rPr>
          <w:rStyle w:val="normaltextrun"/>
          <w:rFonts w:ascii="Garamond" w:hAnsi="Garamond"/>
          <w:sz w:val="24"/>
          <w:szCs w:val="24"/>
        </w:rPr>
      </w:pPr>
      <w:r w:rsidRPr="00D01C0A">
        <w:rPr>
          <w:rStyle w:val="normaltextrun"/>
          <w:rFonts w:ascii="Garamond" w:hAnsi="Garamond" w:cs="Calibri"/>
          <w:color w:val="000000"/>
          <w:sz w:val="24"/>
          <w:szCs w:val="24"/>
          <w:bdr w:val="none" w:sz="0" w:space="0" w:color="auto" w:frame="1"/>
        </w:rPr>
        <w:t>Include 2-3 artifacts related to the synthesis (e.g., work samples/papers with student names redacted) to the DEI EC Assessment Subcommittee.</w:t>
      </w:r>
    </w:p>
    <w:p w14:paraId="29A338BC" w14:textId="77777777" w:rsidR="00D01C0A" w:rsidRPr="00D01C0A" w:rsidRDefault="00D01C0A" w:rsidP="003809EB">
      <w:pPr>
        <w:spacing w:line="240" w:lineRule="auto"/>
        <w:contextualSpacing/>
        <w:rPr>
          <w:rStyle w:val="normaltextrun"/>
          <w:rFonts w:ascii="Garamond" w:hAnsi="Garamond"/>
          <w:sz w:val="24"/>
          <w:szCs w:val="24"/>
        </w:rPr>
      </w:pPr>
    </w:p>
    <w:p w14:paraId="75C44F26" w14:textId="14B12002" w:rsidR="00D01C0A" w:rsidRDefault="00D01C0A" w:rsidP="003809EB">
      <w:pPr>
        <w:spacing w:line="240" w:lineRule="auto"/>
        <w:contextualSpacing/>
        <w:rPr>
          <w:rFonts w:ascii="Garamond" w:hAnsi="Garamond" w:cs="Arial"/>
          <w:sz w:val="24"/>
          <w:szCs w:val="24"/>
        </w:rPr>
      </w:pPr>
      <w:r w:rsidRPr="00D01C0A">
        <w:rPr>
          <w:rFonts w:ascii="Garamond" w:hAnsi="Garamond"/>
          <w:sz w:val="24"/>
          <w:szCs w:val="24"/>
        </w:rPr>
        <w:t xml:space="preserve">The DEI EC Vetting Committee and Assessment Subcommittee, working with the Director of </w:t>
      </w:r>
      <w:r w:rsidRPr="00D01C0A">
        <w:rPr>
          <w:rFonts w:ascii="Garamond" w:hAnsi="Garamond" w:cs="Arial"/>
          <w:sz w:val="24"/>
          <w:szCs w:val="24"/>
        </w:rPr>
        <w:t>Institutional Effectiveness and Institutional Accreditation will determine how frequently to conduct the survey described above in item II., A and the checklist described above in item II, B., but no less than once every three years.</w:t>
      </w:r>
    </w:p>
    <w:p w14:paraId="6A25B46E" w14:textId="77777777" w:rsidR="003809EB" w:rsidRPr="00D01C0A" w:rsidRDefault="003809EB" w:rsidP="003809EB">
      <w:pPr>
        <w:spacing w:line="240" w:lineRule="auto"/>
        <w:contextualSpacing/>
        <w:rPr>
          <w:rFonts w:ascii="Garamond" w:hAnsi="Garamond"/>
          <w:sz w:val="24"/>
          <w:szCs w:val="24"/>
        </w:rPr>
      </w:pPr>
    </w:p>
    <w:p w14:paraId="071D5041" w14:textId="77777777" w:rsidR="00D01C0A" w:rsidRPr="00D01C0A" w:rsidRDefault="00D01C0A" w:rsidP="003809EB">
      <w:pPr>
        <w:spacing w:line="240" w:lineRule="auto"/>
        <w:contextualSpacing/>
        <w:rPr>
          <w:rFonts w:ascii="Garamond" w:hAnsi="Garamond"/>
          <w:sz w:val="24"/>
          <w:szCs w:val="24"/>
        </w:rPr>
      </w:pPr>
      <w:r w:rsidRPr="00D01C0A">
        <w:rPr>
          <w:rFonts w:ascii="Garamond" w:hAnsi="Garamond"/>
          <w:sz w:val="24"/>
          <w:szCs w:val="24"/>
        </w:rPr>
        <w:t>The DEI EC Assessment Subcommittee will share outcomes of these assessment tools with faculty, widely, and especially with faculty who taught DEI EC course in that academic year.</w:t>
      </w:r>
      <w:bookmarkEnd w:id="2"/>
    </w:p>
    <w:p w14:paraId="6D7A3B71" w14:textId="59710872" w:rsidR="003C0A3F" w:rsidRPr="00D01C0A" w:rsidRDefault="003C0A3F" w:rsidP="003809EB">
      <w:pPr>
        <w:spacing w:line="240" w:lineRule="auto"/>
        <w:contextualSpacing/>
        <w:rPr>
          <w:rFonts w:ascii="Garamond" w:hAnsi="Garamond"/>
          <w:sz w:val="24"/>
          <w:szCs w:val="24"/>
        </w:rPr>
      </w:pPr>
    </w:p>
    <w:sectPr w:rsidR="003C0A3F" w:rsidRPr="00D01C0A" w:rsidSect="00B85287">
      <w:headerReference w:type="default" r:id="rId8"/>
      <w:footerReference w:type="default" r:id="rId9"/>
      <w:pgSz w:w="12240" w:h="15840"/>
      <w:pgMar w:top="1296"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D3C18" w14:textId="77777777" w:rsidR="009B1D6A" w:rsidRDefault="009B1D6A" w:rsidP="00790964">
      <w:pPr>
        <w:spacing w:after="0" w:line="240" w:lineRule="auto"/>
      </w:pPr>
      <w:r>
        <w:separator/>
      </w:r>
    </w:p>
  </w:endnote>
  <w:endnote w:type="continuationSeparator" w:id="0">
    <w:p w14:paraId="25B03579" w14:textId="77777777" w:rsidR="009B1D6A" w:rsidRDefault="009B1D6A" w:rsidP="00790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6036876"/>
      <w:docPartObj>
        <w:docPartGallery w:val="Page Numbers (Bottom of Page)"/>
        <w:docPartUnique/>
      </w:docPartObj>
    </w:sdtPr>
    <w:sdtEndPr>
      <w:rPr>
        <w:rFonts w:ascii="Garamond" w:hAnsi="Garamond"/>
        <w:noProof/>
      </w:rPr>
    </w:sdtEndPr>
    <w:sdtContent>
      <w:p w14:paraId="793D296D" w14:textId="3DB3281E" w:rsidR="001B6575" w:rsidRPr="00CC0CD1" w:rsidRDefault="001B6575">
        <w:pPr>
          <w:pStyle w:val="Footer"/>
          <w:jc w:val="right"/>
          <w:rPr>
            <w:rFonts w:ascii="Garamond" w:hAnsi="Garamond"/>
          </w:rPr>
        </w:pPr>
        <w:r w:rsidRPr="00CC0CD1">
          <w:rPr>
            <w:rFonts w:ascii="Garamond" w:hAnsi="Garamond"/>
          </w:rPr>
          <w:fldChar w:fldCharType="begin"/>
        </w:r>
        <w:r w:rsidRPr="00CC0CD1">
          <w:rPr>
            <w:rFonts w:ascii="Garamond" w:hAnsi="Garamond"/>
          </w:rPr>
          <w:instrText xml:space="preserve"> PAGE   \* MERGEFORMAT </w:instrText>
        </w:r>
        <w:r w:rsidRPr="00CC0CD1">
          <w:rPr>
            <w:rFonts w:ascii="Garamond" w:hAnsi="Garamond"/>
          </w:rPr>
          <w:fldChar w:fldCharType="separate"/>
        </w:r>
        <w:r w:rsidR="00536490" w:rsidRPr="00CC0CD1">
          <w:rPr>
            <w:rFonts w:ascii="Garamond" w:hAnsi="Garamond"/>
            <w:noProof/>
          </w:rPr>
          <w:t>2</w:t>
        </w:r>
        <w:r w:rsidRPr="00CC0CD1">
          <w:rPr>
            <w:rFonts w:ascii="Garamond" w:hAnsi="Garamond"/>
            <w:noProof/>
          </w:rPr>
          <w:fldChar w:fldCharType="end"/>
        </w:r>
      </w:p>
    </w:sdtContent>
  </w:sdt>
  <w:p w14:paraId="73C06AFA" w14:textId="77777777" w:rsidR="001B6575" w:rsidRDefault="001B6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3B27F" w14:textId="77777777" w:rsidR="009B1D6A" w:rsidRDefault="009B1D6A" w:rsidP="00790964">
      <w:pPr>
        <w:spacing w:after="0" w:line="240" w:lineRule="auto"/>
      </w:pPr>
      <w:r>
        <w:separator/>
      </w:r>
    </w:p>
  </w:footnote>
  <w:footnote w:type="continuationSeparator" w:id="0">
    <w:p w14:paraId="5986A32B" w14:textId="77777777" w:rsidR="009B1D6A" w:rsidRDefault="009B1D6A" w:rsidP="007909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A05FE" w14:textId="426CD42B" w:rsidR="00790964" w:rsidRPr="0092548E" w:rsidRDefault="009B1D6A" w:rsidP="00790964">
    <w:pPr>
      <w:jc w:val="center"/>
      <w:rPr>
        <w:rFonts w:ascii="Garamond" w:hAnsi="Garamond"/>
        <w:b/>
        <w:sz w:val="32"/>
      </w:rPr>
    </w:pPr>
    <w:sdt>
      <w:sdtPr>
        <w:rPr>
          <w:rFonts w:ascii="Garamond" w:hAnsi="Garamond"/>
          <w:b/>
          <w:sz w:val="32"/>
        </w:rPr>
        <w:id w:val="-936905793"/>
        <w:docPartObj>
          <w:docPartGallery w:val="Watermarks"/>
          <w:docPartUnique/>
        </w:docPartObj>
      </w:sdtPr>
      <w:sdtEndPr/>
      <w:sdtContent>
        <w:r>
          <w:rPr>
            <w:rFonts w:ascii="Garamond" w:hAnsi="Garamond"/>
            <w:b/>
            <w:noProof/>
            <w:sz w:val="32"/>
          </w:rPr>
          <w:pict w14:anchorId="5B33CD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90964" w:rsidRPr="0092548E">
      <w:rPr>
        <w:rFonts w:ascii="Garamond" w:hAnsi="Garamond"/>
        <w:b/>
        <w:sz w:val="32"/>
      </w:rPr>
      <w:t>TCU Core Curriculum</w:t>
    </w:r>
  </w:p>
  <w:p w14:paraId="0724B5DF" w14:textId="77777777" w:rsidR="00790964" w:rsidRDefault="00790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52D"/>
    <w:multiLevelType w:val="hybridMultilevel"/>
    <w:tmpl w:val="03E4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04455"/>
    <w:multiLevelType w:val="hybridMultilevel"/>
    <w:tmpl w:val="693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040854"/>
    <w:multiLevelType w:val="hybridMultilevel"/>
    <w:tmpl w:val="BDC01A16"/>
    <w:lvl w:ilvl="0" w:tplc="DAD265A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20792"/>
    <w:multiLevelType w:val="hybridMultilevel"/>
    <w:tmpl w:val="F960591C"/>
    <w:lvl w:ilvl="0" w:tplc="90C4290C">
      <w:start w:val="1"/>
      <w:numFmt w:val="decimal"/>
      <w:lvlText w:val="%1."/>
      <w:lvlJc w:val="left"/>
      <w:pPr>
        <w:ind w:left="420" w:hanging="360"/>
      </w:pPr>
      <w:rPr>
        <w:rFonts w:cstheme="minorBidi" w:hint="default"/>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1291A5D"/>
    <w:multiLevelType w:val="hybridMultilevel"/>
    <w:tmpl w:val="3CF01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74466"/>
    <w:multiLevelType w:val="hybridMultilevel"/>
    <w:tmpl w:val="7DC2E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231231B"/>
    <w:multiLevelType w:val="multilevel"/>
    <w:tmpl w:val="DA8817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8BF"/>
    <w:rsid w:val="00002BA5"/>
    <w:rsid w:val="00055ADA"/>
    <w:rsid w:val="00085A54"/>
    <w:rsid w:val="000C1A21"/>
    <w:rsid w:val="001127D1"/>
    <w:rsid w:val="00121C69"/>
    <w:rsid w:val="00162AC2"/>
    <w:rsid w:val="001A2810"/>
    <w:rsid w:val="001B23E0"/>
    <w:rsid w:val="001B6575"/>
    <w:rsid w:val="002270E9"/>
    <w:rsid w:val="002405D6"/>
    <w:rsid w:val="0024141C"/>
    <w:rsid w:val="00243516"/>
    <w:rsid w:val="003324E7"/>
    <w:rsid w:val="00352FD9"/>
    <w:rsid w:val="00357D6E"/>
    <w:rsid w:val="003809EB"/>
    <w:rsid w:val="00390C7E"/>
    <w:rsid w:val="003A2A88"/>
    <w:rsid w:val="003A5B23"/>
    <w:rsid w:val="003C0A3F"/>
    <w:rsid w:val="003D65E3"/>
    <w:rsid w:val="004E0BE6"/>
    <w:rsid w:val="005268CE"/>
    <w:rsid w:val="00536490"/>
    <w:rsid w:val="005849AE"/>
    <w:rsid w:val="005A4434"/>
    <w:rsid w:val="005D2C27"/>
    <w:rsid w:val="005E38BF"/>
    <w:rsid w:val="005F3504"/>
    <w:rsid w:val="005F78A2"/>
    <w:rsid w:val="00663515"/>
    <w:rsid w:val="00677E94"/>
    <w:rsid w:val="0074246D"/>
    <w:rsid w:val="00746FE5"/>
    <w:rsid w:val="007715CF"/>
    <w:rsid w:val="007904AF"/>
    <w:rsid w:val="00790964"/>
    <w:rsid w:val="007F0B44"/>
    <w:rsid w:val="00891922"/>
    <w:rsid w:val="008E11D4"/>
    <w:rsid w:val="00916705"/>
    <w:rsid w:val="0092548E"/>
    <w:rsid w:val="00937440"/>
    <w:rsid w:val="00944BEA"/>
    <w:rsid w:val="0094711A"/>
    <w:rsid w:val="009611B3"/>
    <w:rsid w:val="009909F3"/>
    <w:rsid w:val="009B1D6A"/>
    <w:rsid w:val="00A004D1"/>
    <w:rsid w:val="00A02B96"/>
    <w:rsid w:val="00A07F7D"/>
    <w:rsid w:val="00A70090"/>
    <w:rsid w:val="00B356E6"/>
    <w:rsid w:val="00B51F06"/>
    <w:rsid w:val="00B52B76"/>
    <w:rsid w:val="00B5361D"/>
    <w:rsid w:val="00B663A2"/>
    <w:rsid w:val="00B85287"/>
    <w:rsid w:val="00BA20D5"/>
    <w:rsid w:val="00BA41AA"/>
    <w:rsid w:val="00BC5C5C"/>
    <w:rsid w:val="00C24C3C"/>
    <w:rsid w:val="00C2622D"/>
    <w:rsid w:val="00C731B7"/>
    <w:rsid w:val="00C91223"/>
    <w:rsid w:val="00CC0CD1"/>
    <w:rsid w:val="00CC1A81"/>
    <w:rsid w:val="00CE518A"/>
    <w:rsid w:val="00D01C0A"/>
    <w:rsid w:val="00D04FB3"/>
    <w:rsid w:val="00DB7A1A"/>
    <w:rsid w:val="00DC29A3"/>
    <w:rsid w:val="00DF23E4"/>
    <w:rsid w:val="00DF7A23"/>
    <w:rsid w:val="00E25613"/>
    <w:rsid w:val="00E518CE"/>
    <w:rsid w:val="00E56F1B"/>
    <w:rsid w:val="00ED4F22"/>
    <w:rsid w:val="00F34F34"/>
    <w:rsid w:val="00F5576F"/>
    <w:rsid w:val="06678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D55344"/>
  <w15:chartTrackingRefBased/>
  <w15:docId w15:val="{14D9D006-5FC7-4422-8DEC-2D226EF63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8BF"/>
    <w:pPr>
      <w:ind w:left="720"/>
      <w:contextualSpacing/>
    </w:pPr>
  </w:style>
  <w:style w:type="paragraph" w:customStyle="1" w:styleId="paragraph">
    <w:name w:val="paragraph"/>
    <w:basedOn w:val="Normal"/>
    <w:rsid w:val="00A70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70090"/>
  </w:style>
  <w:style w:type="character" w:customStyle="1" w:styleId="eop">
    <w:name w:val="eop"/>
    <w:basedOn w:val="DefaultParagraphFont"/>
    <w:rsid w:val="00A70090"/>
  </w:style>
  <w:style w:type="paragraph" w:styleId="Header">
    <w:name w:val="header"/>
    <w:basedOn w:val="Normal"/>
    <w:link w:val="HeaderChar"/>
    <w:uiPriority w:val="99"/>
    <w:unhideWhenUsed/>
    <w:rsid w:val="007909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964"/>
  </w:style>
  <w:style w:type="paragraph" w:styleId="Footer">
    <w:name w:val="footer"/>
    <w:basedOn w:val="Normal"/>
    <w:link w:val="FooterChar"/>
    <w:uiPriority w:val="99"/>
    <w:unhideWhenUsed/>
    <w:rsid w:val="00790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964"/>
  </w:style>
  <w:style w:type="character" w:styleId="CommentReference">
    <w:name w:val="annotation reference"/>
    <w:basedOn w:val="DefaultParagraphFont"/>
    <w:uiPriority w:val="99"/>
    <w:semiHidden/>
    <w:unhideWhenUsed/>
    <w:rsid w:val="00BA41AA"/>
    <w:rPr>
      <w:sz w:val="16"/>
      <w:szCs w:val="16"/>
    </w:rPr>
  </w:style>
  <w:style w:type="paragraph" w:styleId="CommentText">
    <w:name w:val="annotation text"/>
    <w:basedOn w:val="Normal"/>
    <w:link w:val="CommentTextChar"/>
    <w:uiPriority w:val="99"/>
    <w:semiHidden/>
    <w:unhideWhenUsed/>
    <w:rsid w:val="00BA41AA"/>
    <w:pPr>
      <w:spacing w:line="240" w:lineRule="auto"/>
    </w:pPr>
    <w:rPr>
      <w:sz w:val="20"/>
      <w:szCs w:val="20"/>
    </w:rPr>
  </w:style>
  <w:style w:type="character" w:customStyle="1" w:styleId="CommentTextChar">
    <w:name w:val="Comment Text Char"/>
    <w:basedOn w:val="DefaultParagraphFont"/>
    <w:link w:val="CommentText"/>
    <w:uiPriority w:val="99"/>
    <w:semiHidden/>
    <w:rsid w:val="00BA41AA"/>
    <w:rPr>
      <w:sz w:val="20"/>
      <w:szCs w:val="20"/>
    </w:rPr>
  </w:style>
  <w:style w:type="paragraph" w:styleId="CommentSubject">
    <w:name w:val="annotation subject"/>
    <w:basedOn w:val="CommentText"/>
    <w:next w:val="CommentText"/>
    <w:link w:val="CommentSubjectChar"/>
    <w:uiPriority w:val="99"/>
    <w:semiHidden/>
    <w:unhideWhenUsed/>
    <w:rsid w:val="00BA41AA"/>
    <w:rPr>
      <w:b/>
      <w:bCs/>
    </w:rPr>
  </w:style>
  <w:style w:type="character" w:customStyle="1" w:styleId="CommentSubjectChar">
    <w:name w:val="Comment Subject Char"/>
    <w:basedOn w:val="CommentTextChar"/>
    <w:link w:val="CommentSubject"/>
    <w:uiPriority w:val="99"/>
    <w:semiHidden/>
    <w:rsid w:val="00BA41AA"/>
    <w:rPr>
      <w:b/>
      <w:bCs/>
      <w:sz w:val="20"/>
      <w:szCs w:val="20"/>
    </w:rPr>
  </w:style>
  <w:style w:type="paragraph" w:styleId="BalloonText">
    <w:name w:val="Balloon Text"/>
    <w:basedOn w:val="Normal"/>
    <w:link w:val="BalloonTextChar"/>
    <w:uiPriority w:val="99"/>
    <w:semiHidden/>
    <w:unhideWhenUsed/>
    <w:rsid w:val="00BA4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27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2291C53-D268-44E7-9726-FF491B679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3518</Characters>
  <Application>Microsoft Office Word</Application>
  <DocSecurity>0</DocSecurity>
  <Lines>48</Lines>
  <Paragraphs>8</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Jimerson, Jo</dc:creator>
  <cp:keywords/>
  <dc:description/>
  <cp:lastModifiedBy>Sanders, Claire</cp:lastModifiedBy>
  <cp:revision>2</cp:revision>
  <dcterms:created xsi:type="dcterms:W3CDTF">2019-11-27T17:44:00Z</dcterms:created>
  <dcterms:modified xsi:type="dcterms:W3CDTF">2019-11-27T17:44:00Z</dcterms:modified>
</cp:coreProperties>
</file>