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34532" w14:textId="6CA03933" w:rsidR="00600EA4" w:rsidRPr="00085FAA" w:rsidRDefault="00600EA4">
      <w:pPr>
        <w:pStyle w:val="BodyText"/>
        <w:spacing w:before="1"/>
        <w:rPr>
          <w:b/>
          <w:sz w:val="24"/>
          <w:szCs w:val="24"/>
        </w:rPr>
      </w:pPr>
    </w:p>
    <w:p w14:paraId="74BC83BE" w14:textId="4E46A4A4" w:rsidR="00600EA4" w:rsidRPr="00834AA8" w:rsidRDefault="00AE21CF" w:rsidP="008A67D3">
      <w:pPr>
        <w:pStyle w:val="BodyText"/>
        <w:spacing w:before="1"/>
        <w:ind w:left="112" w:right="328"/>
        <w:rPr>
          <w:sz w:val="24"/>
          <w:szCs w:val="24"/>
        </w:rPr>
      </w:pPr>
      <w:r w:rsidRPr="00834AA8">
        <w:rPr>
          <w:sz w:val="24"/>
          <w:szCs w:val="24"/>
        </w:rPr>
        <w:t xml:space="preserve">The Diversity, Equity, and Inclusion </w:t>
      </w:r>
      <w:r w:rsidR="006643A2" w:rsidRPr="00834AA8">
        <w:rPr>
          <w:sz w:val="24"/>
          <w:szCs w:val="24"/>
        </w:rPr>
        <w:t xml:space="preserve">Essential Competency </w:t>
      </w:r>
      <w:r w:rsidRPr="00834AA8">
        <w:rPr>
          <w:sz w:val="24"/>
          <w:szCs w:val="24"/>
        </w:rPr>
        <w:t xml:space="preserve">Committee will be a Faculty Senate Committee that will vet courses for the Diversity, Equity, and Inclusion </w:t>
      </w:r>
      <w:r w:rsidR="000E0972" w:rsidRPr="00834AA8">
        <w:rPr>
          <w:sz w:val="24"/>
          <w:szCs w:val="24"/>
        </w:rPr>
        <w:t>Essential Competency (DEI EC). This committee will also have a sub-committee responsible for assessing the DEI Essential Competency.</w:t>
      </w:r>
      <w:r w:rsidRPr="00834AA8">
        <w:rPr>
          <w:sz w:val="24"/>
          <w:szCs w:val="24"/>
        </w:rPr>
        <w:t xml:space="preserve"> Committee membership will be a combination of Faculty Senators and the faculty at large. The purpose, oversight, liaison, and membership will be as stated below.</w:t>
      </w:r>
    </w:p>
    <w:p w14:paraId="0726F3C9" w14:textId="77777777" w:rsidR="008A67D3" w:rsidRPr="00834AA8" w:rsidRDefault="008A67D3" w:rsidP="008A67D3">
      <w:pPr>
        <w:pStyle w:val="BodyText"/>
        <w:spacing w:before="1"/>
        <w:ind w:left="112" w:right="328"/>
        <w:rPr>
          <w:sz w:val="24"/>
          <w:szCs w:val="24"/>
        </w:rPr>
      </w:pPr>
    </w:p>
    <w:p w14:paraId="7F16F938" w14:textId="77777777" w:rsidR="00600EA4" w:rsidRPr="00834AA8" w:rsidRDefault="00AE21CF">
      <w:pPr>
        <w:pStyle w:val="Heading1"/>
        <w:rPr>
          <w:sz w:val="24"/>
          <w:szCs w:val="24"/>
        </w:rPr>
      </w:pPr>
      <w:r w:rsidRPr="00834AA8">
        <w:rPr>
          <w:sz w:val="24"/>
          <w:szCs w:val="24"/>
        </w:rPr>
        <w:t>Purpose:</w:t>
      </w:r>
    </w:p>
    <w:p w14:paraId="2F63DA72" w14:textId="5FC2D704" w:rsidR="00600EA4" w:rsidRPr="00834AA8" w:rsidRDefault="00AE21CF">
      <w:pPr>
        <w:pStyle w:val="ListParagraph"/>
        <w:numPr>
          <w:ilvl w:val="0"/>
          <w:numId w:val="1"/>
        </w:numPr>
        <w:tabs>
          <w:tab w:val="left" w:pos="1192"/>
          <w:tab w:val="left" w:pos="1193"/>
        </w:tabs>
        <w:spacing w:line="242" w:lineRule="auto"/>
        <w:ind w:right="324"/>
        <w:rPr>
          <w:sz w:val="24"/>
          <w:szCs w:val="24"/>
        </w:rPr>
      </w:pPr>
      <w:r w:rsidRPr="00834AA8">
        <w:rPr>
          <w:sz w:val="24"/>
          <w:szCs w:val="24"/>
        </w:rPr>
        <w:t xml:space="preserve">To vet courses for the Diversity, Equity, and Inclusion </w:t>
      </w:r>
      <w:r w:rsidR="000E0972" w:rsidRPr="00834AA8">
        <w:rPr>
          <w:sz w:val="24"/>
          <w:szCs w:val="24"/>
        </w:rPr>
        <w:t>Essential Competency</w:t>
      </w:r>
      <w:r w:rsidRPr="00834AA8">
        <w:rPr>
          <w:sz w:val="24"/>
          <w:szCs w:val="24"/>
        </w:rPr>
        <w:t xml:space="preserve"> </w:t>
      </w:r>
      <w:r w:rsidR="00C86D8F">
        <w:rPr>
          <w:sz w:val="24"/>
          <w:szCs w:val="24"/>
        </w:rPr>
        <w:t xml:space="preserve"> (DEI EC) </w:t>
      </w:r>
      <w:r w:rsidRPr="00834AA8">
        <w:rPr>
          <w:sz w:val="24"/>
          <w:szCs w:val="24"/>
        </w:rPr>
        <w:t>using as criteria the outcomes and action steps</w:t>
      </w:r>
    </w:p>
    <w:p w14:paraId="30F60054" w14:textId="77777777" w:rsidR="004A4822" w:rsidRPr="00E12A43" w:rsidRDefault="00D8580A">
      <w:pPr>
        <w:pStyle w:val="ListParagraph"/>
        <w:numPr>
          <w:ilvl w:val="0"/>
          <w:numId w:val="1"/>
        </w:numPr>
        <w:tabs>
          <w:tab w:val="left" w:pos="1192"/>
          <w:tab w:val="left" w:pos="1193"/>
        </w:tabs>
        <w:ind w:right="232"/>
        <w:rPr>
          <w:sz w:val="24"/>
          <w:szCs w:val="24"/>
        </w:rPr>
      </w:pPr>
      <w:r w:rsidRPr="00E12A43">
        <w:rPr>
          <w:sz w:val="24"/>
          <w:szCs w:val="24"/>
        </w:rPr>
        <w:t>To assess DEI EC courses</w:t>
      </w:r>
    </w:p>
    <w:p w14:paraId="24C0200E" w14:textId="7C6E48F0" w:rsidR="00600EA4" w:rsidRPr="00E12A43" w:rsidRDefault="58341D2F" w:rsidP="58341D2F">
      <w:pPr>
        <w:pStyle w:val="ListParagraph"/>
        <w:numPr>
          <w:ilvl w:val="0"/>
          <w:numId w:val="1"/>
        </w:numPr>
        <w:tabs>
          <w:tab w:val="left" w:pos="1192"/>
          <w:tab w:val="left" w:pos="1193"/>
        </w:tabs>
        <w:ind w:right="232"/>
        <w:rPr>
          <w:sz w:val="24"/>
          <w:szCs w:val="24"/>
        </w:rPr>
      </w:pPr>
      <w:r w:rsidRPr="00E12A43">
        <w:rPr>
          <w:sz w:val="24"/>
          <w:szCs w:val="24"/>
        </w:rPr>
        <w:t xml:space="preserve">To work with the Faculty Senate and the Director of </w:t>
      </w:r>
      <w:r w:rsidRPr="00E12A43">
        <w:rPr>
          <w:rFonts w:cs="Arial"/>
          <w:sz w:val="24"/>
          <w:szCs w:val="24"/>
        </w:rPr>
        <w:t xml:space="preserve">Institutional Effectiveness and Institutional Accreditation Liaison </w:t>
      </w:r>
      <w:r w:rsidRPr="00E12A43">
        <w:rPr>
          <w:sz w:val="24"/>
          <w:szCs w:val="24"/>
        </w:rPr>
        <w:t xml:space="preserve">to carry out assessment of DEI EC learning/institutional goals </w:t>
      </w:r>
    </w:p>
    <w:p w14:paraId="6F72BD48" w14:textId="1DEF3420" w:rsidR="00615539" w:rsidRPr="00834AA8" w:rsidRDefault="009116AF">
      <w:pPr>
        <w:pStyle w:val="ListParagraph"/>
        <w:numPr>
          <w:ilvl w:val="0"/>
          <w:numId w:val="1"/>
        </w:numPr>
        <w:tabs>
          <w:tab w:val="left" w:pos="1192"/>
          <w:tab w:val="left" w:pos="1193"/>
        </w:tabs>
        <w:ind w:right="232"/>
        <w:rPr>
          <w:sz w:val="24"/>
          <w:szCs w:val="24"/>
        </w:rPr>
      </w:pPr>
      <w:r>
        <w:rPr>
          <w:sz w:val="24"/>
          <w:szCs w:val="24"/>
        </w:rPr>
        <w:t>To work with the Director of the TCU Core Curriculum to m</w:t>
      </w:r>
      <w:r w:rsidR="00615539" w:rsidRPr="00834AA8">
        <w:rPr>
          <w:sz w:val="24"/>
          <w:szCs w:val="24"/>
        </w:rPr>
        <w:t xml:space="preserve">aintain an accurate record of the </w:t>
      </w:r>
      <w:r w:rsidR="00C35CA4" w:rsidRPr="00834AA8">
        <w:rPr>
          <w:sz w:val="24"/>
          <w:szCs w:val="24"/>
        </w:rPr>
        <w:t>course</w:t>
      </w:r>
      <w:r w:rsidR="00D62D99" w:rsidRPr="00834AA8">
        <w:rPr>
          <w:sz w:val="24"/>
          <w:szCs w:val="24"/>
        </w:rPr>
        <w:t>s approved</w:t>
      </w:r>
      <w:r w:rsidR="00C35CA4" w:rsidRPr="00834AA8">
        <w:rPr>
          <w:sz w:val="24"/>
          <w:szCs w:val="24"/>
        </w:rPr>
        <w:t xml:space="preserve"> </w:t>
      </w:r>
    </w:p>
    <w:p w14:paraId="0399EA88" w14:textId="2C59FF9F" w:rsidR="00C35CA4" w:rsidRPr="00834AA8" w:rsidRDefault="00C35CA4">
      <w:pPr>
        <w:pStyle w:val="ListParagraph"/>
        <w:numPr>
          <w:ilvl w:val="0"/>
          <w:numId w:val="1"/>
        </w:numPr>
        <w:tabs>
          <w:tab w:val="left" w:pos="1192"/>
          <w:tab w:val="left" w:pos="1193"/>
        </w:tabs>
        <w:ind w:right="232"/>
        <w:rPr>
          <w:sz w:val="24"/>
          <w:szCs w:val="24"/>
        </w:rPr>
      </w:pPr>
      <w:r w:rsidRPr="00834AA8">
        <w:rPr>
          <w:sz w:val="24"/>
          <w:szCs w:val="24"/>
        </w:rPr>
        <w:t>Prior to every semester confirm with the TCU Registrar’s Office the</w:t>
      </w:r>
      <w:r w:rsidR="006550E7" w:rsidRPr="00834AA8">
        <w:rPr>
          <w:sz w:val="24"/>
          <w:szCs w:val="24"/>
        </w:rPr>
        <w:t xml:space="preserve"> </w:t>
      </w:r>
      <w:r w:rsidRPr="00834AA8">
        <w:rPr>
          <w:sz w:val="24"/>
          <w:szCs w:val="24"/>
        </w:rPr>
        <w:t>number of DEI EC courses offered for the upcoming semester</w:t>
      </w:r>
    </w:p>
    <w:p w14:paraId="778FA714" w14:textId="052FFAE7" w:rsidR="00DD3E07" w:rsidRPr="00834AA8" w:rsidRDefault="00C35CA4">
      <w:pPr>
        <w:pStyle w:val="ListParagraph"/>
        <w:numPr>
          <w:ilvl w:val="0"/>
          <w:numId w:val="1"/>
        </w:numPr>
        <w:tabs>
          <w:tab w:val="left" w:pos="1192"/>
          <w:tab w:val="left" w:pos="1193"/>
        </w:tabs>
        <w:ind w:right="232"/>
        <w:rPr>
          <w:sz w:val="24"/>
          <w:szCs w:val="24"/>
        </w:rPr>
      </w:pPr>
      <w:r w:rsidRPr="00834AA8">
        <w:rPr>
          <w:sz w:val="24"/>
          <w:szCs w:val="24"/>
        </w:rPr>
        <w:t>Maintain an accurate record of the faculty who have complete</w:t>
      </w:r>
      <w:r w:rsidR="00DD3E07" w:rsidRPr="00834AA8">
        <w:rPr>
          <w:sz w:val="24"/>
          <w:szCs w:val="24"/>
        </w:rPr>
        <w:t>d</w:t>
      </w:r>
      <w:r w:rsidRPr="00834AA8">
        <w:rPr>
          <w:sz w:val="24"/>
          <w:szCs w:val="24"/>
        </w:rPr>
        <w:t xml:space="preserve"> the required training to teach the DEI EC </w:t>
      </w:r>
      <w:r w:rsidR="008E4FFB" w:rsidRPr="00834AA8">
        <w:rPr>
          <w:sz w:val="24"/>
          <w:szCs w:val="24"/>
        </w:rPr>
        <w:t>courses</w:t>
      </w:r>
    </w:p>
    <w:p w14:paraId="3D5EFC19" w14:textId="4DD69DCF" w:rsidR="00C35CA4" w:rsidRPr="00834AA8" w:rsidRDefault="00DD3E07">
      <w:pPr>
        <w:pStyle w:val="ListParagraph"/>
        <w:numPr>
          <w:ilvl w:val="0"/>
          <w:numId w:val="1"/>
        </w:numPr>
        <w:tabs>
          <w:tab w:val="left" w:pos="1192"/>
          <w:tab w:val="left" w:pos="1193"/>
        </w:tabs>
        <w:ind w:right="232"/>
        <w:rPr>
          <w:sz w:val="24"/>
          <w:szCs w:val="24"/>
        </w:rPr>
      </w:pPr>
      <w:r w:rsidRPr="00834AA8">
        <w:rPr>
          <w:sz w:val="24"/>
          <w:szCs w:val="24"/>
        </w:rPr>
        <w:t>Prior to every semester c</w:t>
      </w:r>
      <w:r w:rsidR="00E03C36" w:rsidRPr="00834AA8">
        <w:rPr>
          <w:sz w:val="24"/>
          <w:szCs w:val="24"/>
        </w:rPr>
        <w:t>onfirm</w:t>
      </w:r>
      <w:r w:rsidRPr="00834AA8">
        <w:rPr>
          <w:sz w:val="24"/>
          <w:szCs w:val="24"/>
        </w:rPr>
        <w:t xml:space="preserve"> </w:t>
      </w:r>
      <w:r w:rsidR="00E03C36" w:rsidRPr="00834AA8">
        <w:rPr>
          <w:sz w:val="24"/>
          <w:szCs w:val="24"/>
        </w:rPr>
        <w:t xml:space="preserve">that the faculty </w:t>
      </w:r>
      <w:r w:rsidRPr="00834AA8">
        <w:rPr>
          <w:sz w:val="24"/>
          <w:szCs w:val="24"/>
        </w:rPr>
        <w:t xml:space="preserve">scheduled to </w:t>
      </w:r>
      <w:r w:rsidR="00E03C36" w:rsidRPr="00834AA8">
        <w:rPr>
          <w:sz w:val="24"/>
          <w:szCs w:val="24"/>
        </w:rPr>
        <w:t>teach DEI EI course</w:t>
      </w:r>
      <w:r w:rsidRPr="00834AA8">
        <w:rPr>
          <w:sz w:val="24"/>
          <w:szCs w:val="24"/>
        </w:rPr>
        <w:t>s have completed the DEI training</w:t>
      </w:r>
    </w:p>
    <w:p w14:paraId="799A8E5A" w14:textId="77777777" w:rsidR="00600EA4" w:rsidRPr="00834AA8" w:rsidRDefault="00600EA4">
      <w:pPr>
        <w:pStyle w:val="BodyText"/>
        <w:spacing w:before="6"/>
        <w:rPr>
          <w:sz w:val="24"/>
          <w:szCs w:val="24"/>
        </w:rPr>
      </w:pPr>
    </w:p>
    <w:p w14:paraId="395407A9" w14:textId="77777777" w:rsidR="00600EA4" w:rsidRPr="00834AA8" w:rsidRDefault="00AE21CF">
      <w:pPr>
        <w:tabs>
          <w:tab w:val="left" w:pos="1552"/>
        </w:tabs>
        <w:spacing w:before="1"/>
        <w:ind w:left="112"/>
        <w:rPr>
          <w:sz w:val="24"/>
          <w:szCs w:val="24"/>
        </w:rPr>
      </w:pPr>
      <w:r w:rsidRPr="00834AA8">
        <w:rPr>
          <w:b/>
          <w:sz w:val="24"/>
          <w:szCs w:val="24"/>
        </w:rPr>
        <w:t>Oversight:</w:t>
      </w:r>
      <w:r w:rsidRPr="00834AA8">
        <w:rPr>
          <w:b/>
          <w:sz w:val="24"/>
          <w:szCs w:val="24"/>
        </w:rPr>
        <w:tab/>
      </w:r>
      <w:r w:rsidRPr="00834AA8">
        <w:rPr>
          <w:sz w:val="24"/>
          <w:szCs w:val="24"/>
        </w:rPr>
        <w:t>Faculty Senate</w:t>
      </w:r>
    </w:p>
    <w:p w14:paraId="67B6A6B3" w14:textId="77777777" w:rsidR="00600EA4" w:rsidRPr="00834AA8" w:rsidRDefault="00600EA4">
      <w:pPr>
        <w:pStyle w:val="BodyText"/>
        <w:spacing w:before="1"/>
        <w:rPr>
          <w:sz w:val="24"/>
          <w:szCs w:val="24"/>
        </w:rPr>
      </w:pPr>
    </w:p>
    <w:p w14:paraId="652605BB" w14:textId="01DFB117" w:rsidR="00600EA4" w:rsidRPr="00834AA8" w:rsidRDefault="00AE21CF">
      <w:pPr>
        <w:pStyle w:val="BodyText"/>
        <w:tabs>
          <w:tab w:val="left" w:pos="1552"/>
        </w:tabs>
        <w:ind w:left="112"/>
        <w:rPr>
          <w:sz w:val="24"/>
          <w:szCs w:val="24"/>
        </w:rPr>
      </w:pPr>
      <w:r w:rsidRPr="00834AA8">
        <w:rPr>
          <w:b/>
          <w:sz w:val="24"/>
          <w:szCs w:val="24"/>
        </w:rPr>
        <w:t>Liaison:</w:t>
      </w:r>
      <w:r w:rsidRPr="00834AA8">
        <w:rPr>
          <w:b/>
          <w:sz w:val="24"/>
          <w:szCs w:val="24"/>
        </w:rPr>
        <w:tab/>
      </w:r>
      <w:r w:rsidRPr="00834AA8">
        <w:rPr>
          <w:sz w:val="24"/>
          <w:szCs w:val="24"/>
        </w:rPr>
        <w:t>The Chair of the Committee will</w:t>
      </w:r>
      <w:r w:rsidR="007E4003">
        <w:rPr>
          <w:sz w:val="24"/>
          <w:szCs w:val="24"/>
        </w:rPr>
        <w:t xml:space="preserve"> liaise</w:t>
      </w:r>
      <w:r w:rsidRPr="00834AA8">
        <w:rPr>
          <w:sz w:val="24"/>
          <w:szCs w:val="24"/>
        </w:rPr>
        <w:t xml:space="preserve"> with the FSEC and the Faculty</w:t>
      </w:r>
      <w:r w:rsidRPr="00834AA8">
        <w:rPr>
          <w:spacing w:val="-18"/>
          <w:sz w:val="24"/>
          <w:szCs w:val="24"/>
        </w:rPr>
        <w:t xml:space="preserve"> </w:t>
      </w:r>
      <w:r w:rsidRPr="00834AA8">
        <w:rPr>
          <w:sz w:val="24"/>
          <w:szCs w:val="24"/>
        </w:rPr>
        <w:t>Senate.</w:t>
      </w:r>
    </w:p>
    <w:p w14:paraId="7EB6B591" w14:textId="77777777" w:rsidR="00600EA4" w:rsidRPr="00834AA8" w:rsidRDefault="00600EA4">
      <w:pPr>
        <w:pStyle w:val="BodyText"/>
        <w:rPr>
          <w:sz w:val="24"/>
          <w:szCs w:val="24"/>
        </w:rPr>
      </w:pPr>
    </w:p>
    <w:p w14:paraId="42606553" w14:textId="77777777" w:rsidR="00600EA4" w:rsidRPr="00834AA8" w:rsidRDefault="00AE21CF">
      <w:pPr>
        <w:pStyle w:val="Heading1"/>
        <w:rPr>
          <w:sz w:val="24"/>
          <w:szCs w:val="24"/>
        </w:rPr>
      </w:pPr>
      <w:r w:rsidRPr="00834AA8">
        <w:rPr>
          <w:sz w:val="24"/>
          <w:szCs w:val="24"/>
        </w:rPr>
        <w:t>Membership:</w:t>
      </w:r>
    </w:p>
    <w:p w14:paraId="071BFF7E" w14:textId="7A6790A1" w:rsidR="00600EA4" w:rsidRPr="00834AA8" w:rsidRDefault="00A64317" w:rsidP="58341D2F">
      <w:pPr>
        <w:pStyle w:val="BodyText"/>
        <w:ind w:left="832" w:right="177"/>
        <w:rPr>
          <w:sz w:val="24"/>
          <w:szCs w:val="24"/>
        </w:rPr>
      </w:pPr>
      <w:r>
        <w:t xml:space="preserve">There will be a total of ten (10) committee members. </w:t>
      </w:r>
      <w:r w:rsidR="58341D2F" w:rsidRPr="58341D2F">
        <w:rPr>
          <w:sz w:val="24"/>
          <w:szCs w:val="24"/>
        </w:rPr>
        <w:t>Seven (7) faculty, two (2) of whom must be elected by, and from, the Faculty Senate</w:t>
      </w:r>
      <w:r>
        <w:rPr>
          <w:sz w:val="24"/>
          <w:szCs w:val="24"/>
        </w:rPr>
        <w:t xml:space="preserve"> and five (5) </w:t>
      </w:r>
      <w:r w:rsidR="58341D2F" w:rsidRPr="58341D2F">
        <w:rPr>
          <w:sz w:val="24"/>
          <w:szCs w:val="24"/>
        </w:rPr>
        <w:t xml:space="preserve">faculty nominated by the Faculty Senate Committee on Committees, and one (1) </w:t>
      </w:r>
      <w:r w:rsidR="58341D2F" w:rsidRPr="00A64317">
        <w:rPr>
          <w:sz w:val="24"/>
          <w:szCs w:val="24"/>
        </w:rPr>
        <w:t>non-voting,</w:t>
      </w:r>
      <w:r w:rsidR="58341D2F" w:rsidRPr="58341D2F">
        <w:rPr>
          <w:sz w:val="24"/>
          <w:szCs w:val="24"/>
        </w:rPr>
        <w:t xml:space="preserve"> ex-officio member from the School of Interdisciplinary Studies. One of the members from the Faculty Senate shall serve as the Chair of the Committee. The selection process must be made with the following criteria in mind:</w:t>
      </w:r>
    </w:p>
    <w:p w14:paraId="58252C2F" w14:textId="77777777" w:rsidR="00600EA4" w:rsidRPr="00834AA8" w:rsidRDefault="00600EA4">
      <w:pPr>
        <w:pStyle w:val="BodyText"/>
        <w:spacing w:before="9"/>
        <w:rPr>
          <w:sz w:val="24"/>
          <w:szCs w:val="24"/>
        </w:rPr>
      </w:pPr>
    </w:p>
    <w:p w14:paraId="251CF5BF" w14:textId="036120D9" w:rsidR="00600EA4" w:rsidRPr="00834AA8" w:rsidRDefault="00AE21CF">
      <w:pPr>
        <w:pStyle w:val="ListParagraph"/>
        <w:numPr>
          <w:ilvl w:val="0"/>
          <w:numId w:val="1"/>
        </w:numPr>
        <w:tabs>
          <w:tab w:val="left" w:pos="1192"/>
          <w:tab w:val="left" w:pos="1193"/>
        </w:tabs>
        <w:rPr>
          <w:sz w:val="24"/>
          <w:szCs w:val="24"/>
        </w:rPr>
      </w:pPr>
      <w:r w:rsidRPr="00834AA8">
        <w:rPr>
          <w:sz w:val="24"/>
          <w:szCs w:val="24"/>
        </w:rPr>
        <w:t>Broad departmental representation</w:t>
      </w:r>
    </w:p>
    <w:p w14:paraId="630C5EBA" w14:textId="5BB0A222" w:rsidR="00600EA4" w:rsidRPr="00834AA8" w:rsidRDefault="00AE21CF">
      <w:pPr>
        <w:pStyle w:val="ListParagraph"/>
        <w:numPr>
          <w:ilvl w:val="0"/>
          <w:numId w:val="1"/>
        </w:numPr>
        <w:tabs>
          <w:tab w:val="left" w:pos="1192"/>
          <w:tab w:val="left" w:pos="1193"/>
        </w:tabs>
        <w:spacing w:before="2"/>
        <w:ind w:right="191"/>
        <w:rPr>
          <w:sz w:val="24"/>
          <w:szCs w:val="24"/>
        </w:rPr>
      </w:pPr>
      <w:r w:rsidRPr="00834AA8">
        <w:rPr>
          <w:sz w:val="24"/>
          <w:szCs w:val="24"/>
        </w:rPr>
        <w:t xml:space="preserve">At least </w:t>
      </w:r>
      <w:r w:rsidR="00541BD4" w:rsidRPr="00834AA8">
        <w:rPr>
          <w:sz w:val="24"/>
          <w:szCs w:val="24"/>
        </w:rPr>
        <w:t>3</w:t>
      </w:r>
      <w:r w:rsidRPr="00834AA8">
        <w:rPr>
          <w:sz w:val="24"/>
          <w:szCs w:val="24"/>
        </w:rPr>
        <w:t xml:space="preserve"> members must teach, have recently taught, or be scheduled to teach, a course consistent with DEI</w:t>
      </w:r>
      <w:r w:rsidR="000E0972" w:rsidRPr="00834AA8">
        <w:rPr>
          <w:sz w:val="24"/>
          <w:szCs w:val="24"/>
        </w:rPr>
        <w:t xml:space="preserve"> EC</w:t>
      </w:r>
    </w:p>
    <w:p w14:paraId="6C9AE434" w14:textId="60CDC2F1" w:rsidR="00600EA4" w:rsidRPr="00834AA8" w:rsidRDefault="58341D2F" w:rsidP="58341D2F">
      <w:pPr>
        <w:pStyle w:val="ListParagraph"/>
        <w:numPr>
          <w:ilvl w:val="0"/>
          <w:numId w:val="1"/>
        </w:numPr>
        <w:tabs>
          <w:tab w:val="left" w:pos="1192"/>
          <w:tab w:val="left" w:pos="1193"/>
        </w:tabs>
        <w:ind w:right="112"/>
        <w:rPr>
          <w:sz w:val="24"/>
          <w:szCs w:val="24"/>
        </w:rPr>
      </w:pPr>
      <w:r w:rsidRPr="58341D2F">
        <w:rPr>
          <w:sz w:val="24"/>
          <w:szCs w:val="24"/>
        </w:rPr>
        <w:t>At least 3 other members must teach, have recently taught, or be scheduled to teach, a course consistent with DEI EC and/or Cultural Awareness (CA) or Citizenship and Social Values (CSV)</w:t>
      </w:r>
      <w:r w:rsidR="00A64317">
        <w:rPr>
          <w:rStyle w:val="CommentReference"/>
        </w:rPr>
        <w:t xml:space="preserve"> </w:t>
      </w:r>
    </w:p>
    <w:p w14:paraId="0D31888B" w14:textId="287C2314" w:rsidR="009A0BCA" w:rsidRPr="00834AA8" w:rsidRDefault="009A0BCA">
      <w:pPr>
        <w:pStyle w:val="ListParagraph"/>
        <w:numPr>
          <w:ilvl w:val="0"/>
          <w:numId w:val="1"/>
        </w:numPr>
        <w:tabs>
          <w:tab w:val="left" w:pos="1192"/>
          <w:tab w:val="left" w:pos="1193"/>
        </w:tabs>
        <w:ind w:right="112"/>
        <w:rPr>
          <w:sz w:val="24"/>
          <w:szCs w:val="24"/>
        </w:rPr>
      </w:pPr>
      <w:r w:rsidRPr="00834AA8">
        <w:rPr>
          <w:sz w:val="24"/>
          <w:szCs w:val="24"/>
        </w:rPr>
        <w:t>A</w:t>
      </w:r>
      <w:r w:rsidR="008D6A01" w:rsidRPr="00834AA8">
        <w:rPr>
          <w:sz w:val="24"/>
          <w:szCs w:val="24"/>
        </w:rPr>
        <w:t xml:space="preserve"> non-voting, </w:t>
      </w:r>
      <w:r w:rsidRPr="00834AA8">
        <w:rPr>
          <w:sz w:val="24"/>
          <w:szCs w:val="24"/>
        </w:rPr>
        <w:t>ex officio</w:t>
      </w:r>
      <w:r w:rsidR="008D6A01" w:rsidRPr="00834AA8">
        <w:rPr>
          <w:sz w:val="24"/>
          <w:szCs w:val="24"/>
        </w:rPr>
        <w:t xml:space="preserve"> </w:t>
      </w:r>
      <w:r w:rsidRPr="00834AA8">
        <w:rPr>
          <w:sz w:val="24"/>
          <w:szCs w:val="24"/>
        </w:rPr>
        <w:t xml:space="preserve">member of the </w:t>
      </w:r>
      <w:r w:rsidR="00C056BF" w:rsidRPr="00834AA8">
        <w:rPr>
          <w:sz w:val="24"/>
          <w:szCs w:val="24"/>
        </w:rPr>
        <w:t>School of Interdisciplinary Studies</w:t>
      </w:r>
    </w:p>
    <w:p w14:paraId="404FF478" w14:textId="77777777" w:rsidR="00AE21CF" w:rsidRPr="00834AA8" w:rsidRDefault="00AE21CF" w:rsidP="009A0BCA">
      <w:pPr>
        <w:pStyle w:val="ListParagraph"/>
        <w:tabs>
          <w:tab w:val="left" w:pos="1192"/>
          <w:tab w:val="left" w:pos="1193"/>
        </w:tabs>
        <w:ind w:right="112" w:firstLine="0"/>
        <w:rPr>
          <w:sz w:val="24"/>
          <w:szCs w:val="24"/>
          <w:highlight w:val="yellow"/>
        </w:rPr>
      </w:pPr>
    </w:p>
    <w:p w14:paraId="56626D5E" w14:textId="7E2F3E0E" w:rsidR="00600EA4" w:rsidRDefault="00AE21CF">
      <w:pPr>
        <w:pStyle w:val="BodyText"/>
        <w:spacing w:before="1"/>
        <w:ind w:left="832" w:right="328"/>
        <w:rPr>
          <w:sz w:val="24"/>
          <w:szCs w:val="24"/>
        </w:rPr>
      </w:pPr>
      <w:r w:rsidRPr="00834AA8">
        <w:rPr>
          <w:sz w:val="24"/>
          <w:szCs w:val="24"/>
        </w:rPr>
        <w:t>The Committee on Committees will work in conjunction with the Executive Committee of the Faculty Senate to achieve the necessary balance and representation. Although effort should be made to represent the various colleges, it is not imperative that all be represented at all times. Consultation with those well</w:t>
      </w:r>
      <w:r w:rsidR="00C630BD" w:rsidRPr="00834AA8">
        <w:rPr>
          <w:sz w:val="24"/>
          <w:szCs w:val="24"/>
        </w:rPr>
        <w:t>-</w:t>
      </w:r>
      <w:r w:rsidRPr="00834AA8">
        <w:rPr>
          <w:sz w:val="24"/>
          <w:szCs w:val="24"/>
        </w:rPr>
        <w:t xml:space="preserve">versed in </w:t>
      </w:r>
      <w:r w:rsidR="00C630BD" w:rsidRPr="00834AA8">
        <w:rPr>
          <w:sz w:val="24"/>
          <w:szCs w:val="24"/>
        </w:rPr>
        <w:t xml:space="preserve">DEI </w:t>
      </w:r>
      <w:r w:rsidRPr="00834AA8">
        <w:rPr>
          <w:sz w:val="24"/>
          <w:szCs w:val="24"/>
        </w:rPr>
        <w:t xml:space="preserve">will be </w:t>
      </w:r>
      <w:r w:rsidR="00C630BD" w:rsidRPr="00834AA8">
        <w:rPr>
          <w:sz w:val="24"/>
          <w:szCs w:val="24"/>
        </w:rPr>
        <w:t>t</w:t>
      </w:r>
      <w:r w:rsidRPr="00834AA8">
        <w:rPr>
          <w:sz w:val="24"/>
          <w:szCs w:val="24"/>
        </w:rPr>
        <w:t>he norm.</w:t>
      </w:r>
    </w:p>
    <w:p w14:paraId="57981A80" w14:textId="77777777" w:rsidR="00904F10" w:rsidRDefault="00904F10">
      <w:pPr>
        <w:pStyle w:val="BodyText"/>
        <w:spacing w:before="1"/>
        <w:ind w:left="832" w:right="328"/>
        <w:rPr>
          <w:sz w:val="24"/>
          <w:szCs w:val="24"/>
        </w:rPr>
      </w:pPr>
    </w:p>
    <w:p w14:paraId="185E989E" w14:textId="77777777" w:rsidR="0074028B" w:rsidRDefault="0074028B">
      <w:pPr>
        <w:pStyle w:val="BodyText"/>
        <w:spacing w:before="1"/>
        <w:ind w:left="832" w:right="328"/>
        <w:rPr>
          <w:sz w:val="24"/>
          <w:szCs w:val="24"/>
        </w:rPr>
      </w:pPr>
    </w:p>
    <w:p w14:paraId="6723F54B" w14:textId="77777777" w:rsidR="000C0815" w:rsidRDefault="000C0815">
      <w:pPr>
        <w:pStyle w:val="BodyText"/>
        <w:spacing w:before="1"/>
        <w:ind w:left="832" w:right="328"/>
        <w:rPr>
          <w:sz w:val="24"/>
          <w:szCs w:val="24"/>
        </w:rPr>
      </w:pPr>
    </w:p>
    <w:p w14:paraId="230F6162" w14:textId="2017C2B2" w:rsidR="00834AA8" w:rsidRDefault="00834AA8" w:rsidP="00834AA8">
      <w:pPr>
        <w:pStyle w:val="BodyText"/>
        <w:spacing w:before="1"/>
        <w:ind w:right="328"/>
        <w:rPr>
          <w:sz w:val="24"/>
          <w:szCs w:val="24"/>
        </w:rPr>
      </w:pPr>
    </w:p>
    <w:p w14:paraId="47553FA1" w14:textId="434B3A7B" w:rsidR="00600EA4" w:rsidRPr="00834AA8" w:rsidRDefault="00AE21CF">
      <w:pPr>
        <w:pStyle w:val="Heading1"/>
        <w:rPr>
          <w:sz w:val="24"/>
          <w:szCs w:val="24"/>
        </w:rPr>
      </w:pPr>
      <w:r w:rsidRPr="00834AA8">
        <w:rPr>
          <w:sz w:val="24"/>
          <w:szCs w:val="24"/>
        </w:rPr>
        <w:t>Terms of Service:</w:t>
      </w:r>
    </w:p>
    <w:p w14:paraId="2C76E220" w14:textId="69863442" w:rsidR="00600EA4" w:rsidRPr="00834AA8" w:rsidRDefault="00AE21CF">
      <w:pPr>
        <w:pStyle w:val="BodyText"/>
        <w:ind w:left="832" w:right="79"/>
        <w:rPr>
          <w:sz w:val="24"/>
          <w:szCs w:val="24"/>
        </w:rPr>
      </w:pPr>
      <w:r w:rsidRPr="00834AA8">
        <w:rPr>
          <w:sz w:val="24"/>
          <w:szCs w:val="24"/>
        </w:rPr>
        <w:t xml:space="preserve">Members </w:t>
      </w:r>
      <w:r w:rsidR="00C630BD" w:rsidRPr="00834AA8">
        <w:rPr>
          <w:sz w:val="24"/>
          <w:szCs w:val="24"/>
        </w:rPr>
        <w:t>elected from t</w:t>
      </w:r>
      <w:r w:rsidRPr="00834AA8">
        <w:rPr>
          <w:sz w:val="24"/>
          <w:szCs w:val="24"/>
        </w:rPr>
        <w:t xml:space="preserve">he Faculty Senate will </w:t>
      </w:r>
      <w:r w:rsidR="00C630BD" w:rsidRPr="00834AA8">
        <w:rPr>
          <w:sz w:val="24"/>
          <w:szCs w:val="24"/>
        </w:rPr>
        <w:t xml:space="preserve">serve </w:t>
      </w:r>
      <w:r w:rsidRPr="00834AA8">
        <w:rPr>
          <w:sz w:val="24"/>
          <w:szCs w:val="24"/>
        </w:rPr>
        <w:t xml:space="preserve">rotating three-year terms. </w:t>
      </w:r>
      <w:r w:rsidR="006550E7" w:rsidRPr="00834AA8">
        <w:rPr>
          <w:sz w:val="24"/>
          <w:szCs w:val="24"/>
        </w:rPr>
        <w:t>Non-Faculty</w:t>
      </w:r>
      <w:r w:rsidRPr="00834AA8">
        <w:rPr>
          <w:sz w:val="24"/>
          <w:szCs w:val="24"/>
        </w:rPr>
        <w:t xml:space="preserve"> Senate members will be appointed for rotating three-year terms. Members may serve as many terms as desired. A term year will be considered September– August.</w:t>
      </w:r>
    </w:p>
    <w:p w14:paraId="1A01F3F5" w14:textId="57F8B274" w:rsidR="001A2573" w:rsidRPr="00834AA8" w:rsidRDefault="001A2573" w:rsidP="001A2573">
      <w:pPr>
        <w:pStyle w:val="BodyText"/>
        <w:ind w:right="79"/>
        <w:rPr>
          <w:sz w:val="24"/>
          <w:szCs w:val="24"/>
        </w:rPr>
      </w:pPr>
    </w:p>
    <w:p w14:paraId="57D5D0D4" w14:textId="77777777" w:rsidR="00600EA4" w:rsidRPr="00834AA8" w:rsidRDefault="00AE21CF">
      <w:pPr>
        <w:pStyle w:val="Heading1"/>
        <w:spacing w:before="1"/>
        <w:rPr>
          <w:b w:val="0"/>
          <w:sz w:val="24"/>
          <w:szCs w:val="24"/>
        </w:rPr>
      </w:pPr>
      <w:r w:rsidRPr="00834AA8">
        <w:rPr>
          <w:sz w:val="24"/>
          <w:szCs w:val="24"/>
        </w:rPr>
        <w:t>Special considerations</w:t>
      </w:r>
      <w:r w:rsidRPr="00834AA8">
        <w:rPr>
          <w:b w:val="0"/>
          <w:sz w:val="24"/>
          <w:szCs w:val="24"/>
        </w:rPr>
        <w:t>:</w:t>
      </w:r>
    </w:p>
    <w:p w14:paraId="2C066814" w14:textId="0F5436DB" w:rsidR="008E4FFB" w:rsidRPr="00834AA8" w:rsidRDefault="008E4FFB" w:rsidP="008E4FFB">
      <w:pPr>
        <w:pStyle w:val="BodyText"/>
        <w:ind w:left="832" w:right="79"/>
        <w:rPr>
          <w:sz w:val="24"/>
          <w:szCs w:val="24"/>
        </w:rPr>
      </w:pPr>
      <w:r w:rsidRPr="00834AA8">
        <w:rPr>
          <w:sz w:val="24"/>
          <w:szCs w:val="24"/>
        </w:rPr>
        <w:t>To help with the initial workload and the implementation of the DEI EC, there will be three additional committee members. The FSEC will appoint two (2) committee members from the DEI EC Implementation Committee, and the Committee on Committee will nominate one (1) member. Of these three additional committee members, one</w:t>
      </w:r>
      <w:r w:rsidR="00A64317">
        <w:rPr>
          <w:sz w:val="24"/>
          <w:szCs w:val="24"/>
        </w:rPr>
        <w:t xml:space="preserve"> (1) </w:t>
      </w:r>
      <w:r w:rsidRPr="00834AA8">
        <w:rPr>
          <w:sz w:val="24"/>
          <w:szCs w:val="24"/>
        </w:rPr>
        <w:t>will be appointed for a term of three (3) years and two (2) will be appointed for terms of two (2) year</w:t>
      </w:r>
      <w:r w:rsidR="00C630BD" w:rsidRPr="00834AA8">
        <w:rPr>
          <w:sz w:val="24"/>
          <w:szCs w:val="24"/>
        </w:rPr>
        <w:t>s</w:t>
      </w:r>
      <w:r w:rsidRPr="00834AA8">
        <w:rPr>
          <w:sz w:val="24"/>
          <w:szCs w:val="24"/>
        </w:rPr>
        <w:t xml:space="preserve">. The full contingent of faculty at large will be appointed for 2023-2024 and thereafter. Thus, the size of the committee will be 11, 11, and 10, respectively for the transition period of </w:t>
      </w:r>
      <w:r w:rsidRPr="00834AA8">
        <w:rPr>
          <w:sz w:val="24"/>
          <w:szCs w:val="24"/>
          <w:highlight w:val="yellow"/>
        </w:rPr>
        <w:t>2020 – 2023</w:t>
      </w:r>
      <w:r w:rsidRPr="00834AA8">
        <w:rPr>
          <w:sz w:val="24"/>
          <w:szCs w:val="24"/>
        </w:rPr>
        <w:t>.</w:t>
      </w:r>
    </w:p>
    <w:p w14:paraId="3982BEF2" w14:textId="67E40ACD" w:rsidR="00805219" w:rsidRPr="00834AA8" w:rsidRDefault="00805219" w:rsidP="008E4FFB">
      <w:pPr>
        <w:pStyle w:val="BodyText"/>
        <w:ind w:left="832" w:right="79"/>
        <w:rPr>
          <w:sz w:val="24"/>
          <w:szCs w:val="24"/>
        </w:rPr>
      </w:pPr>
    </w:p>
    <w:p w14:paraId="0CD3866F" w14:textId="77777777" w:rsidR="008E4FFB" w:rsidRPr="00834AA8" w:rsidRDefault="008E4FFB" w:rsidP="008E4FFB">
      <w:pPr>
        <w:pStyle w:val="BodyText"/>
        <w:spacing w:before="11"/>
        <w:rPr>
          <w:sz w:val="24"/>
          <w:szCs w:val="24"/>
        </w:rPr>
      </w:pPr>
    </w:p>
    <w:tbl>
      <w:tblPr>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96"/>
        <w:gridCol w:w="1351"/>
        <w:gridCol w:w="1440"/>
        <w:gridCol w:w="1440"/>
        <w:gridCol w:w="1440"/>
        <w:gridCol w:w="1404"/>
      </w:tblGrid>
      <w:tr w:rsidR="008E4FFB" w:rsidRPr="00834AA8" w14:paraId="34B740FF" w14:textId="77777777" w:rsidTr="58341D2F">
        <w:trPr>
          <w:trHeight w:val="275"/>
        </w:trPr>
        <w:tc>
          <w:tcPr>
            <w:tcW w:w="2496" w:type="dxa"/>
          </w:tcPr>
          <w:p w14:paraId="29D90886" w14:textId="77777777" w:rsidR="008E4FFB" w:rsidRPr="00834AA8" w:rsidRDefault="008E4FFB" w:rsidP="006A17DC">
            <w:pPr>
              <w:pStyle w:val="TableParagraph"/>
              <w:spacing w:line="236" w:lineRule="exact"/>
              <w:jc w:val="left"/>
              <w:rPr>
                <w:b/>
                <w:sz w:val="24"/>
                <w:szCs w:val="24"/>
              </w:rPr>
            </w:pPr>
            <w:r w:rsidRPr="00834AA8">
              <w:rPr>
                <w:b/>
                <w:sz w:val="24"/>
                <w:szCs w:val="24"/>
              </w:rPr>
              <w:t>Term year</w:t>
            </w:r>
          </w:p>
        </w:tc>
        <w:tc>
          <w:tcPr>
            <w:tcW w:w="1351" w:type="dxa"/>
          </w:tcPr>
          <w:p w14:paraId="0628B900" w14:textId="77777777" w:rsidR="008E4FFB" w:rsidRPr="00834AA8" w:rsidRDefault="008E4FFB" w:rsidP="006A17DC">
            <w:pPr>
              <w:pStyle w:val="TableParagraph"/>
              <w:spacing w:line="236" w:lineRule="exact"/>
              <w:ind w:left="111"/>
              <w:jc w:val="left"/>
              <w:rPr>
                <w:b/>
                <w:sz w:val="24"/>
                <w:szCs w:val="24"/>
                <w:highlight w:val="yellow"/>
              </w:rPr>
            </w:pPr>
            <w:r w:rsidRPr="00834AA8">
              <w:rPr>
                <w:b/>
                <w:sz w:val="24"/>
                <w:szCs w:val="24"/>
                <w:highlight w:val="yellow"/>
              </w:rPr>
              <w:t>2020 - 2021</w:t>
            </w:r>
          </w:p>
        </w:tc>
        <w:tc>
          <w:tcPr>
            <w:tcW w:w="1440" w:type="dxa"/>
          </w:tcPr>
          <w:p w14:paraId="634DF0F1" w14:textId="77777777" w:rsidR="008E4FFB" w:rsidRPr="00834AA8" w:rsidRDefault="008E4FFB" w:rsidP="006A17DC">
            <w:pPr>
              <w:pStyle w:val="TableParagraph"/>
              <w:spacing w:line="236" w:lineRule="exact"/>
              <w:jc w:val="left"/>
              <w:rPr>
                <w:b/>
                <w:sz w:val="24"/>
                <w:szCs w:val="24"/>
                <w:highlight w:val="yellow"/>
              </w:rPr>
            </w:pPr>
            <w:r w:rsidRPr="00834AA8">
              <w:rPr>
                <w:b/>
                <w:sz w:val="24"/>
                <w:szCs w:val="24"/>
                <w:highlight w:val="yellow"/>
              </w:rPr>
              <w:t>2021 - 2022</w:t>
            </w:r>
          </w:p>
        </w:tc>
        <w:tc>
          <w:tcPr>
            <w:tcW w:w="1440" w:type="dxa"/>
          </w:tcPr>
          <w:p w14:paraId="40213361" w14:textId="77777777" w:rsidR="008E4FFB" w:rsidRPr="00834AA8" w:rsidRDefault="008E4FFB" w:rsidP="006A17DC">
            <w:pPr>
              <w:pStyle w:val="TableParagraph"/>
              <w:spacing w:line="236" w:lineRule="exact"/>
              <w:ind w:left="111"/>
              <w:jc w:val="left"/>
              <w:rPr>
                <w:b/>
                <w:sz w:val="24"/>
                <w:szCs w:val="24"/>
                <w:highlight w:val="yellow"/>
              </w:rPr>
            </w:pPr>
            <w:r w:rsidRPr="00834AA8">
              <w:rPr>
                <w:b/>
                <w:sz w:val="24"/>
                <w:szCs w:val="24"/>
                <w:highlight w:val="yellow"/>
              </w:rPr>
              <w:t>2022 - 2023</w:t>
            </w:r>
          </w:p>
        </w:tc>
        <w:tc>
          <w:tcPr>
            <w:tcW w:w="1440" w:type="dxa"/>
          </w:tcPr>
          <w:p w14:paraId="54BCE44F" w14:textId="77777777" w:rsidR="008E4FFB" w:rsidRPr="00834AA8" w:rsidRDefault="008E4FFB" w:rsidP="006A17DC">
            <w:pPr>
              <w:pStyle w:val="TableParagraph"/>
              <w:spacing w:line="236" w:lineRule="exact"/>
              <w:ind w:left="112"/>
              <w:jc w:val="left"/>
              <w:rPr>
                <w:b/>
                <w:sz w:val="24"/>
                <w:szCs w:val="24"/>
                <w:highlight w:val="yellow"/>
              </w:rPr>
            </w:pPr>
            <w:r w:rsidRPr="00834AA8">
              <w:rPr>
                <w:b/>
                <w:sz w:val="24"/>
                <w:szCs w:val="24"/>
                <w:highlight w:val="yellow"/>
              </w:rPr>
              <w:t>2023 - 2024</w:t>
            </w:r>
          </w:p>
        </w:tc>
        <w:tc>
          <w:tcPr>
            <w:tcW w:w="1404" w:type="dxa"/>
          </w:tcPr>
          <w:p w14:paraId="6D8F7CE5" w14:textId="77777777" w:rsidR="008E4FFB" w:rsidRPr="00834AA8" w:rsidRDefault="008E4FFB" w:rsidP="006A17DC">
            <w:pPr>
              <w:pStyle w:val="TableParagraph"/>
              <w:spacing w:line="236" w:lineRule="exact"/>
              <w:ind w:left="112"/>
              <w:jc w:val="left"/>
              <w:rPr>
                <w:b/>
                <w:sz w:val="24"/>
                <w:szCs w:val="24"/>
                <w:highlight w:val="yellow"/>
              </w:rPr>
            </w:pPr>
            <w:r w:rsidRPr="00834AA8">
              <w:rPr>
                <w:b/>
                <w:sz w:val="24"/>
                <w:szCs w:val="24"/>
                <w:highlight w:val="yellow"/>
              </w:rPr>
              <w:t>2024 - 2025</w:t>
            </w:r>
          </w:p>
        </w:tc>
      </w:tr>
      <w:tr w:rsidR="008E4FFB" w:rsidRPr="00834AA8" w14:paraId="00EF488B" w14:textId="77777777" w:rsidTr="58341D2F">
        <w:trPr>
          <w:trHeight w:val="278"/>
        </w:trPr>
        <w:tc>
          <w:tcPr>
            <w:tcW w:w="2496" w:type="dxa"/>
          </w:tcPr>
          <w:p w14:paraId="75454E60" w14:textId="77777777" w:rsidR="008E4FFB" w:rsidRPr="00834AA8" w:rsidRDefault="008E4FFB" w:rsidP="006A17DC">
            <w:pPr>
              <w:pStyle w:val="TableParagraph"/>
              <w:spacing w:line="239" w:lineRule="exact"/>
              <w:jc w:val="left"/>
              <w:rPr>
                <w:sz w:val="24"/>
                <w:szCs w:val="24"/>
              </w:rPr>
            </w:pPr>
            <w:r w:rsidRPr="00834AA8">
              <w:rPr>
                <w:sz w:val="24"/>
                <w:szCs w:val="24"/>
              </w:rPr>
              <w:t>Senate members</w:t>
            </w:r>
          </w:p>
        </w:tc>
        <w:tc>
          <w:tcPr>
            <w:tcW w:w="1351" w:type="dxa"/>
          </w:tcPr>
          <w:p w14:paraId="7EDCAD9C" w14:textId="77777777" w:rsidR="008E4FFB" w:rsidRPr="00834AA8" w:rsidRDefault="008E4FFB" w:rsidP="006A17DC">
            <w:pPr>
              <w:pStyle w:val="TableParagraph"/>
              <w:spacing w:line="239" w:lineRule="exact"/>
              <w:ind w:left="4"/>
              <w:rPr>
                <w:sz w:val="24"/>
                <w:szCs w:val="24"/>
              </w:rPr>
            </w:pPr>
            <w:r w:rsidRPr="00834AA8">
              <w:rPr>
                <w:sz w:val="24"/>
                <w:szCs w:val="24"/>
              </w:rPr>
              <w:t>2</w:t>
            </w:r>
          </w:p>
        </w:tc>
        <w:tc>
          <w:tcPr>
            <w:tcW w:w="1440" w:type="dxa"/>
          </w:tcPr>
          <w:p w14:paraId="72FD39DF" w14:textId="77777777" w:rsidR="008E4FFB" w:rsidRPr="00834AA8" w:rsidRDefault="008E4FFB" w:rsidP="006A17DC">
            <w:pPr>
              <w:pStyle w:val="TableParagraph"/>
              <w:spacing w:line="239" w:lineRule="exact"/>
              <w:ind w:left="6"/>
              <w:rPr>
                <w:sz w:val="24"/>
                <w:szCs w:val="24"/>
              </w:rPr>
            </w:pPr>
            <w:r w:rsidRPr="00834AA8">
              <w:rPr>
                <w:sz w:val="24"/>
                <w:szCs w:val="24"/>
              </w:rPr>
              <w:t>2</w:t>
            </w:r>
          </w:p>
        </w:tc>
        <w:tc>
          <w:tcPr>
            <w:tcW w:w="1440" w:type="dxa"/>
          </w:tcPr>
          <w:p w14:paraId="77A2181E" w14:textId="77777777" w:rsidR="008E4FFB" w:rsidRPr="00834AA8" w:rsidRDefault="008E4FFB" w:rsidP="006A17DC">
            <w:pPr>
              <w:pStyle w:val="TableParagraph"/>
              <w:spacing w:line="239" w:lineRule="exact"/>
              <w:ind w:left="6"/>
              <w:rPr>
                <w:sz w:val="24"/>
                <w:szCs w:val="24"/>
              </w:rPr>
            </w:pPr>
            <w:r w:rsidRPr="00834AA8">
              <w:rPr>
                <w:sz w:val="24"/>
                <w:szCs w:val="24"/>
              </w:rPr>
              <w:t>2</w:t>
            </w:r>
          </w:p>
        </w:tc>
        <w:tc>
          <w:tcPr>
            <w:tcW w:w="1440" w:type="dxa"/>
          </w:tcPr>
          <w:p w14:paraId="20843DB2" w14:textId="77777777" w:rsidR="008E4FFB" w:rsidRPr="00834AA8" w:rsidRDefault="008E4FFB" w:rsidP="006A17DC">
            <w:pPr>
              <w:pStyle w:val="TableParagraph"/>
              <w:spacing w:line="239" w:lineRule="exact"/>
              <w:ind w:left="6"/>
              <w:rPr>
                <w:sz w:val="24"/>
                <w:szCs w:val="24"/>
              </w:rPr>
            </w:pPr>
            <w:r w:rsidRPr="00834AA8">
              <w:rPr>
                <w:sz w:val="24"/>
                <w:szCs w:val="24"/>
              </w:rPr>
              <w:t>2</w:t>
            </w:r>
          </w:p>
        </w:tc>
        <w:tc>
          <w:tcPr>
            <w:tcW w:w="1404" w:type="dxa"/>
          </w:tcPr>
          <w:p w14:paraId="0C3FA6D1" w14:textId="77777777" w:rsidR="008E4FFB" w:rsidRPr="00834AA8" w:rsidRDefault="008E4FFB" w:rsidP="006A17DC">
            <w:pPr>
              <w:pStyle w:val="TableParagraph"/>
              <w:spacing w:line="239" w:lineRule="exact"/>
              <w:ind w:left="9"/>
              <w:rPr>
                <w:sz w:val="24"/>
                <w:szCs w:val="24"/>
              </w:rPr>
            </w:pPr>
            <w:r w:rsidRPr="00834AA8">
              <w:rPr>
                <w:sz w:val="24"/>
                <w:szCs w:val="24"/>
              </w:rPr>
              <w:t>2</w:t>
            </w:r>
          </w:p>
        </w:tc>
      </w:tr>
      <w:tr w:rsidR="008E4FFB" w:rsidRPr="00834AA8" w14:paraId="73AF6AD4" w14:textId="77777777" w:rsidTr="58341D2F">
        <w:trPr>
          <w:trHeight w:val="275"/>
        </w:trPr>
        <w:tc>
          <w:tcPr>
            <w:tcW w:w="2496" w:type="dxa"/>
          </w:tcPr>
          <w:p w14:paraId="76BE9AD7" w14:textId="77777777" w:rsidR="008E4FFB" w:rsidRPr="00834AA8" w:rsidRDefault="008E4FFB" w:rsidP="006A17DC">
            <w:pPr>
              <w:pStyle w:val="TableParagraph"/>
              <w:jc w:val="left"/>
              <w:rPr>
                <w:sz w:val="24"/>
                <w:szCs w:val="24"/>
              </w:rPr>
            </w:pPr>
            <w:r w:rsidRPr="00834AA8">
              <w:rPr>
                <w:sz w:val="24"/>
                <w:szCs w:val="24"/>
              </w:rPr>
              <w:t>Regular members</w:t>
            </w:r>
          </w:p>
        </w:tc>
        <w:tc>
          <w:tcPr>
            <w:tcW w:w="1351" w:type="dxa"/>
          </w:tcPr>
          <w:p w14:paraId="0947199B" w14:textId="77777777" w:rsidR="008E4FFB" w:rsidRPr="00834AA8" w:rsidRDefault="008E4FFB" w:rsidP="006A17DC">
            <w:pPr>
              <w:pStyle w:val="TableParagraph"/>
              <w:ind w:left="4"/>
              <w:rPr>
                <w:sz w:val="24"/>
                <w:szCs w:val="24"/>
              </w:rPr>
            </w:pPr>
            <w:r w:rsidRPr="00834AA8">
              <w:rPr>
                <w:sz w:val="24"/>
                <w:szCs w:val="24"/>
              </w:rPr>
              <w:t>5</w:t>
            </w:r>
          </w:p>
        </w:tc>
        <w:tc>
          <w:tcPr>
            <w:tcW w:w="1440" w:type="dxa"/>
          </w:tcPr>
          <w:p w14:paraId="07ADF2C1" w14:textId="77777777" w:rsidR="008E4FFB" w:rsidRPr="00834AA8" w:rsidRDefault="008E4FFB" w:rsidP="006A17DC">
            <w:pPr>
              <w:pStyle w:val="TableParagraph"/>
              <w:ind w:left="7"/>
              <w:rPr>
                <w:sz w:val="24"/>
                <w:szCs w:val="24"/>
              </w:rPr>
            </w:pPr>
            <w:r w:rsidRPr="00834AA8">
              <w:rPr>
                <w:sz w:val="24"/>
                <w:szCs w:val="24"/>
              </w:rPr>
              <w:t>5</w:t>
            </w:r>
          </w:p>
        </w:tc>
        <w:tc>
          <w:tcPr>
            <w:tcW w:w="1440" w:type="dxa"/>
          </w:tcPr>
          <w:p w14:paraId="3746865E" w14:textId="77777777" w:rsidR="008E4FFB" w:rsidRPr="00834AA8" w:rsidRDefault="008E4FFB" w:rsidP="006A17DC">
            <w:pPr>
              <w:pStyle w:val="TableParagraph"/>
              <w:ind w:left="8"/>
              <w:rPr>
                <w:sz w:val="24"/>
                <w:szCs w:val="24"/>
              </w:rPr>
            </w:pPr>
            <w:r w:rsidRPr="00834AA8">
              <w:rPr>
                <w:sz w:val="24"/>
                <w:szCs w:val="24"/>
              </w:rPr>
              <w:t>6</w:t>
            </w:r>
          </w:p>
        </w:tc>
        <w:tc>
          <w:tcPr>
            <w:tcW w:w="1440" w:type="dxa"/>
          </w:tcPr>
          <w:p w14:paraId="279D9D17" w14:textId="77777777" w:rsidR="008E4FFB" w:rsidRPr="00834AA8" w:rsidRDefault="008E4FFB" w:rsidP="006A17DC">
            <w:pPr>
              <w:pStyle w:val="TableParagraph"/>
              <w:ind w:left="8"/>
              <w:rPr>
                <w:sz w:val="24"/>
                <w:szCs w:val="24"/>
              </w:rPr>
            </w:pPr>
            <w:r w:rsidRPr="00834AA8">
              <w:rPr>
                <w:sz w:val="24"/>
                <w:szCs w:val="24"/>
              </w:rPr>
              <w:t>7</w:t>
            </w:r>
          </w:p>
        </w:tc>
        <w:tc>
          <w:tcPr>
            <w:tcW w:w="1404" w:type="dxa"/>
          </w:tcPr>
          <w:p w14:paraId="64A04622" w14:textId="77777777" w:rsidR="008E4FFB" w:rsidRPr="00834AA8" w:rsidRDefault="008E4FFB" w:rsidP="006A17DC">
            <w:pPr>
              <w:pStyle w:val="TableParagraph"/>
              <w:ind w:left="11"/>
              <w:rPr>
                <w:sz w:val="24"/>
                <w:szCs w:val="24"/>
              </w:rPr>
            </w:pPr>
            <w:r w:rsidRPr="00834AA8">
              <w:rPr>
                <w:sz w:val="24"/>
                <w:szCs w:val="24"/>
              </w:rPr>
              <w:t>7</w:t>
            </w:r>
          </w:p>
        </w:tc>
      </w:tr>
      <w:tr w:rsidR="008E4FFB" w:rsidRPr="00834AA8" w14:paraId="0A341B82" w14:textId="77777777" w:rsidTr="58341D2F">
        <w:trPr>
          <w:trHeight w:val="275"/>
        </w:trPr>
        <w:tc>
          <w:tcPr>
            <w:tcW w:w="2496" w:type="dxa"/>
          </w:tcPr>
          <w:p w14:paraId="2BA2371C" w14:textId="77777777" w:rsidR="008E4FFB" w:rsidRPr="00834AA8" w:rsidRDefault="008E4FFB" w:rsidP="006A17DC">
            <w:pPr>
              <w:pStyle w:val="TableParagraph"/>
              <w:jc w:val="left"/>
              <w:rPr>
                <w:sz w:val="24"/>
                <w:szCs w:val="24"/>
              </w:rPr>
            </w:pPr>
            <w:r w:rsidRPr="00834AA8">
              <w:rPr>
                <w:sz w:val="24"/>
                <w:szCs w:val="24"/>
              </w:rPr>
              <w:t>Additional members</w:t>
            </w:r>
          </w:p>
        </w:tc>
        <w:tc>
          <w:tcPr>
            <w:tcW w:w="1351" w:type="dxa"/>
          </w:tcPr>
          <w:p w14:paraId="0928FCD3" w14:textId="77777777" w:rsidR="008E4FFB" w:rsidRPr="00834AA8" w:rsidRDefault="008E4FFB" w:rsidP="006A17DC">
            <w:pPr>
              <w:pStyle w:val="TableParagraph"/>
              <w:ind w:left="7"/>
              <w:rPr>
                <w:sz w:val="24"/>
                <w:szCs w:val="24"/>
              </w:rPr>
            </w:pPr>
            <w:r w:rsidRPr="00834AA8">
              <w:rPr>
                <w:sz w:val="24"/>
                <w:szCs w:val="24"/>
              </w:rPr>
              <w:t>3</w:t>
            </w:r>
          </w:p>
        </w:tc>
        <w:tc>
          <w:tcPr>
            <w:tcW w:w="1440" w:type="dxa"/>
          </w:tcPr>
          <w:p w14:paraId="0477E15B" w14:textId="77777777" w:rsidR="008E4FFB" w:rsidRPr="00834AA8" w:rsidRDefault="008E4FFB" w:rsidP="006A17DC">
            <w:pPr>
              <w:pStyle w:val="TableParagraph"/>
              <w:ind w:left="9"/>
              <w:rPr>
                <w:sz w:val="24"/>
                <w:szCs w:val="24"/>
              </w:rPr>
            </w:pPr>
            <w:r w:rsidRPr="00834AA8">
              <w:rPr>
                <w:sz w:val="24"/>
                <w:szCs w:val="24"/>
              </w:rPr>
              <w:t>3</w:t>
            </w:r>
          </w:p>
        </w:tc>
        <w:tc>
          <w:tcPr>
            <w:tcW w:w="1440" w:type="dxa"/>
          </w:tcPr>
          <w:p w14:paraId="060D041A" w14:textId="77777777" w:rsidR="008E4FFB" w:rsidRPr="00834AA8" w:rsidRDefault="008E4FFB" w:rsidP="006A17DC">
            <w:pPr>
              <w:pStyle w:val="TableParagraph"/>
              <w:ind w:left="9"/>
              <w:rPr>
                <w:sz w:val="24"/>
                <w:szCs w:val="24"/>
              </w:rPr>
            </w:pPr>
            <w:r w:rsidRPr="00834AA8">
              <w:rPr>
                <w:sz w:val="24"/>
                <w:szCs w:val="24"/>
              </w:rPr>
              <w:t>1</w:t>
            </w:r>
          </w:p>
        </w:tc>
        <w:tc>
          <w:tcPr>
            <w:tcW w:w="1440" w:type="dxa"/>
          </w:tcPr>
          <w:p w14:paraId="3C631B15" w14:textId="77777777" w:rsidR="008E4FFB" w:rsidRPr="00834AA8" w:rsidRDefault="008E4FFB" w:rsidP="006A17DC">
            <w:pPr>
              <w:pStyle w:val="TableParagraph"/>
              <w:ind w:left="8"/>
              <w:rPr>
                <w:sz w:val="24"/>
                <w:szCs w:val="24"/>
              </w:rPr>
            </w:pPr>
            <w:r w:rsidRPr="00834AA8">
              <w:rPr>
                <w:sz w:val="24"/>
                <w:szCs w:val="24"/>
              </w:rPr>
              <w:t>0</w:t>
            </w:r>
          </w:p>
        </w:tc>
        <w:tc>
          <w:tcPr>
            <w:tcW w:w="1404" w:type="dxa"/>
          </w:tcPr>
          <w:p w14:paraId="4112D2F7" w14:textId="77777777" w:rsidR="008E4FFB" w:rsidRPr="00834AA8" w:rsidRDefault="008E4FFB" w:rsidP="006A17DC">
            <w:pPr>
              <w:pStyle w:val="TableParagraph"/>
              <w:ind w:left="10"/>
              <w:rPr>
                <w:sz w:val="24"/>
                <w:szCs w:val="24"/>
              </w:rPr>
            </w:pPr>
            <w:r w:rsidRPr="00834AA8">
              <w:rPr>
                <w:sz w:val="24"/>
                <w:szCs w:val="24"/>
              </w:rPr>
              <w:t>0</w:t>
            </w:r>
          </w:p>
        </w:tc>
      </w:tr>
      <w:tr w:rsidR="008E4FFB" w:rsidRPr="00834AA8" w14:paraId="3E91B9C3" w14:textId="77777777" w:rsidTr="58341D2F">
        <w:trPr>
          <w:trHeight w:val="280"/>
        </w:trPr>
        <w:tc>
          <w:tcPr>
            <w:tcW w:w="2496" w:type="dxa"/>
          </w:tcPr>
          <w:p w14:paraId="0C101289" w14:textId="77777777" w:rsidR="008E4FFB" w:rsidRPr="00834AA8" w:rsidRDefault="008E4FFB" w:rsidP="006A17DC">
            <w:pPr>
              <w:pStyle w:val="TableParagraph"/>
              <w:spacing w:line="241" w:lineRule="exact"/>
              <w:jc w:val="left"/>
              <w:rPr>
                <w:sz w:val="24"/>
                <w:szCs w:val="24"/>
              </w:rPr>
            </w:pPr>
            <w:r w:rsidRPr="00834AA8">
              <w:rPr>
                <w:sz w:val="24"/>
                <w:szCs w:val="24"/>
              </w:rPr>
              <w:t>Ex-officio SIS member</w:t>
            </w:r>
          </w:p>
        </w:tc>
        <w:tc>
          <w:tcPr>
            <w:tcW w:w="1351" w:type="dxa"/>
          </w:tcPr>
          <w:p w14:paraId="5FA3D01C" w14:textId="77777777" w:rsidR="008E4FFB" w:rsidRPr="00834AA8" w:rsidRDefault="008E4FFB" w:rsidP="006A17DC">
            <w:pPr>
              <w:pStyle w:val="TableParagraph"/>
              <w:spacing w:line="241" w:lineRule="exact"/>
              <w:ind w:left="550" w:right="548"/>
              <w:rPr>
                <w:sz w:val="24"/>
                <w:szCs w:val="24"/>
              </w:rPr>
            </w:pPr>
            <w:r w:rsidRPr="00834AA8">
              <w:rPr>
                <w:sz w:val="24"/>
                <w:szCs w:val="24"/>
              </w:rPr>
              <w:t>1</w:t>
            </w:r>
          </w:p>
        </w:tc>
        <w:tc>
          <w:tcPr>
            <w:tcW w:w="1440" w:type="dxa"/>
          </w:tcPr>
          <w:p w14:paraId="2A73A0CF" w14:textId="77777777" w:rsidR="008E4FFB" w:rsidRPr="00834AA8" w:rsidRDefault="008E4FFB" w:rsidP="006A17DC">
            <w:pPr>
              <w:pStyle w:val="TableParagraph"/>
              <w:spacing w:line="241" w:lineRule="exact"/>
              <w:ind w:left="596" w:right="591"/>
              <w:rPr>
                <w:sz w:val="24"/>
                <w:szCs w:val="24"/>
              </w:rPr>
            </w:pPr>
            <w:r w:rsidRPr="00834AA8">
              <w:rPr>
                <w:sz w:val="24"/>
                <w:szCs w:val="24"/>
              </w:rPr>
              <w:t>1</w:t>
            </w:r>
          </w:p>
        </w:tc>
        <w:tc>
          <w:tcPr>
            <w:tcW w:w="1440" w:type="dxa"/>
          </w:tcPr>
          <w:p w14:paraId="30ECE87C" w14:textId="77777777" w:rsidR="008E4FFB" w:rsidRPr="00834AA8" w:rsidRDefault="008E4FFB" w:rsidP="006A17DC">
            <w:pPr>
              <w:pStyle w:val="TableParagraph"/>
              <w:spacing w:line="241" w:lineRule="exact"/>
              <w:ind w:left="8"/>
              <w:rPr>
                <w:sz w:val="24"/>
                <w:szCs w:val="24"/>
              </w:rPr>
            </w:pPr>
            <w:r w:rsidRPr="00834AA8">
              <w:rPr>
                <w:sz w:val="24"/>
                <w:szCs w:val="24"/>
              </w:rPr>
              <w:t>1</w:t>
            </w:r>
          </w:p>
        </w:tc>
        <w:tc>
          <w:tcPr>
            <w:tcW w:w="1440" w:type="dxa"/>
          </w:tcPr>
          <w:p w14:paraId="0B9FBB3C" w14:textId="77777777" w:rsidR="008E4FFB" w:rsidRPr="00834AA8" w:rsidRDefault="008E4FFB" w:rsidP="006A17DC">
            <w:pPr>
              <w:pStyle w:val="TableParagraph"/>
              <w:spacing w:line="241" w:lineRule="exact"/>
              <w:ind w:left="8"/>
              <w:rPr>
                <w:sz w:val="24"/>
                <w:szCs w:val="24"/>
              </w:rPr>
            </w:pPr>
            <w:r w:rsidRPr="00834AA8">
              <w:rPr>
                <w:sz w:val="24"/>
                <w:szCs w:val="24"/>
              </w:rPr>
              <w:t>1</w:t>
            </w:r>
          </w:p>
        </w:tc>
        <w:tc>
          <w:tcPr>
            <w:tcW w:w="1404" w:type="dxa"/>
          </w:tcPr>
          <w:p w14:paraId="09DEACA4" w14:textId="77777777" w:rsidR="008E4FFB" w:rsidRPr="00834AA8" w:rsidRDefault="008E4FFB" w:rsidP="006A17DC">
            <w:pPr>
              <w:pStyle w:val="TableParagraph"/>
              <w:spacing w:line="241" w:lineRule="exact"/>
              <w:ind w:left="11"/>
              <w:rPr>
                <w:sz w:val="24"/>
                <w:szCs w:val="24"/>
              </w:rPr>
            </w:pPr>
            <w:r w:rsidRPr="00834AA8">
              <w:rPr>
                <w:sz w:val="24"/>
                <w:szCs w:val="24"/>
              </w:rPr>
              <w:t>1</w:t>
            </w:r>
          </w:p>
        </w:tc>
      </w:tr>
      <w:tr w:rsidR="008E4FFB" w:rsidRPr="00834AA8" w14:paraId="6A6BE4A9" w14:textId="77777777" w:rsidTr="58341D2F">
        <w:trPr>
          <w:trHeight w:val="280"/>
        </w:trPr>
        <w:tc>
          <w:tcPr>
            <w:tcW w:w="2496" w:type="dxa"/>
          </w:tcPr>
          <w:p w14:paraId="779051CB" w14:textId="77777777" w:rsidR="008E4FFB" w:rsidRPr="00834AA8" w:rsidRDefault="008E4FFB" w:rsidP="006A17DC">
            <w:pPr>
              <w:pStyle w:val="TableParagraph"/>
              <w:spacing w:line="241" w:lineRule="exact"/>
              <w:jc w:val="left"/>
              <w:rPr>
                <w:sz w:val="24"/>
                <w:szCs w:val="24"/>
              </w:rPr>
            </w:pPr>
            <w:r w:rsidRPr="00834AA8">
              <w:rPr>
                <w:sz w:val="24"/>
                <w:szCs w:val="24"/>
              </w:rPr>
              <w:t>Total</w:t>
            </w:r>
          </w:p>
        </w:tc>
        <w:tc>
          <w:tcPr>
            <w:tcW w:w="1351" w:type="dxa"/>
          </w:tcPr>
          <w:p w14:paraId="769EBE6C" w14:textId="77777777" w:rsidR="008E4FFB" w:rsidRPr="00834AA8" w:rsidRDefault="58341D2F" w:rsidP="58341D2F">
            <w:pPr>
              <w:pStyle w:val="TableParagraph"/>
              <w:spacing w:line="241" w:lineRule="exact"/>
              <w:ind w:left="550" w:right="548"/>
              <w:rPr>
                <w:sz w:val="24"/>
                <w:szCs w:val="24"/>
              </w:rPr>
            </w:pPr>
            <w:r w:rsidRPr="58341D2F">
              <w:rPr>
                <w:sz w:val="24"/>
                <w:szCs w:val="24"/>
              </w:rPr>
              <w:t>11</w:t>
            </w:r>
          </w:p>
        </w:tc>
        <w:tc>
          <w:tcPr>
            <w:tcW w:w="1440" w:type="dxa"/>
          </w:tcPr>
          <w:p w14:paraId="42FC21CE" w14:textId="77777777" w:rsidR="008E4FFB" w:rsidRPr="00834AA8" w:rsidRDefault="008E4FFB" w:rsidP="006A17DC">
            <w:pPr>
              <w:pStyle w:val="TableParagraph"/>
              <w:spacing w:line="241" w:lineRule="exact"/>
              <w:ind w:left="596" w:right="591"/>
              <w:rPr>
                <w:sz w:val="24"/>
                <w:szCs w:val="24"/>
              </w:rPr>
            </w:pPr>
            <w:r w:rsidRPr="00834AA8">
              <w:rPr>
                <w:sz w:val="24"/>
                <w:szCs w:val="24"/>
              </w:rPr>
              <w:t>11</w:t>
            </w:r>
          </w:p>
        </w:tc>
        <w:tc>
          <w:tcPr>
            <w:tcW w:w="1440" w:type="dxa"/>
          </w:tcPr>
          <w:p w14:paraId="5DA9BD51" w14:textId="77777777" w:rsidR="008E4FFB" w:rsidRPr="00834AA8" w:rsidRDefault="008E4FFB" w:rsidP="006A17DC">
            <w:pPr>
              <w:pStyle w:val="TableParagraph"/>
              <w:spacing w:line="241" w:lineRule="exact"/>
              <w:ind w:left="8"/>
              <w:rPr>
                <w:sz w:val="24"/>
                <w:szCs w:val="24"/>
              </w:rPr>
            </w:pPr>
            <w:r w:rsidRPr="00834AA8">
              <w:rPr>
                <w:sz w:val="24"/>
                <w:szCs w:val="24"/>
              </w:rPr>
              <w:t>10</w:t>
            </w:r>
          </w:p>
        </w:tc>
        <w:tc>
          <w:tcPr>
            <w:tcW w:w="1440" w:type="dxa"/>
          </w:tcPr>
          <w:p w14:paraId="53D0B254" w14:textId="77777777" w:rsidR="008E4FFB" w:rsidRPr="00834AA8" w:rsidRDefault="008E4FFB" w:rsidP="006A17DC">
            <w:pPr>
              <w:pStyle w:val="TableParagraph"/>
              <w:spacing w:line="241" w:lineRule="exact"/>
              <w:ind w:left="8"/>
              <w:rPr>
                <w:sz w:val="24"/>
                <w:szCs w:val="24"/>
              </w:rPr>
            </w:pPr>
            <w:r w:rsidRPr="00834AA8">
              <w:rPr>
                <w:sz w:val="24"/>
                <w:szCs w:val="24"/>
              </w:rPr>
              <w:t>10</w:t>
            </w:r>
          </w:p>
        </w:tc>
        <w:tc>
          <w:tcPr>
            <w:tcW w:w="1404" w:type="dxa"/>
          </w:tcPr>
          <w:p w14:paraId="08561B8F" w14:textId="77777777" w:rsidR="008E4FFB" w:rsidRPr="00834AA8" w:rsidRDefault="008E4FFB" w:rsidP="006A17DC">
            <w:pPr>
              <w:pStyle w:val="TableParagraph"/>
              <w:spacing w:line="241" w:lineRule="exact"/>
              <w:ind w:left="11"/>
              <w:rPr>
                <w:sz w:val="24"/>
                <w:szCs w:val="24"/>
              </w:rPr>
            </w:pPr>
            <w:r w:rsidRPr="00834AA8">
              <w:rPr>
                <w:sz w:val="24"/>
                <w:szCs w:val="24"/>
              </w:rPr>
              <w:t>10</w:t>
            </w:r>
          </w:p>
        </w:tc>
      </w:tr>
    </w:tbl>
    <w:p w14:paraId="48268F0A" w14:textId="03A83454" w:rsidR="00471CBD" w:rsidRDefault="00471CBD" w:rsidP="008E4FFB">
      <w:pPr>
        <w:rPr>
          <w:b/>
          <w:sz w:val="24"/>
          <w:szCs w:val="24"/>
        </w:rPr>
      </w:pPr>
    </w:p>
    <w:p w14:paraId="66EC1FE7" w14:textId="77777777" w:rsidR="00904F10" w:rsidRPr="00834AA8" w:rsidRDefault="00904F10" w:rsidP="008E4FFB">
      <w:pPr>
        <w:rPr>
          <w:b/>
          <w:sz w:val="24"/>
          <w:szCs w:val="24"/>
        </w:rPr>
      </w:pPr>
    </w:p>
    <w:p w14:paraId="366597E6" w14:textId="77777777" w:rsidR="00471CBD" w:rsidRPr="00834AA8" w:rsidRDefault="00471CBD" w:rsidP="008E4FFB">
      <w:pPr>
        <w:rPr>
          <w:b/>
          <w:sz w:val="24"/>
          <w:szCs w:val="24"/>
        </w:rPr>
      </w:pPr>
    </w:p>
    <w:p w14:paraId="2680EFB1" w14:textId="580B1827" w:rsidR="00536C20" w:rsidRPr="00834AA8" w:rsidRDefault="00536C20" w:rsidP="00536C20">
      <w:pPr>
        <w:jc w:val="center"/>
        <w:rPr>
          <w:b/>
          <w:sz w:val="28"/>
          <w:szCs w:val="24"/>
        </w:rPr>
      </w:pPr>
      <w:r w:rsidRPr="00834AA8">
        <w:rPr>
          <w:b/>
          <w:sz w:val="28"/>
          <w:szCs w:val="24"/>
        </w:rPr>
        <w:t xml:space="preserve">Assessment </w:t>
      </w:r>
      <w:r w:rsidR="00F025DC" w:rsidRPr="00834AA8">
        <w:rPr>
          <w:b/>
          <w:sz w:val="28"/>
          <w:szCs w:val="24"/>
        </w:rPr>
        <w:t>Subcommittee</w:t>
      </w:r>
    </w:p>
    <w:p w14:paraId="7267C72B" w14:textId="77777777" w:rsidR="00536C20" w:rsidRPr="00834AA8" w:rsidRDefault="00536C20" w:rsidP="00536C20">
      <w:pPr>
        <w:jc w:val="center"/>
        <w:rPr>
          <w:sz w:val="24"/>
          <w:szCs w:val="24"/>
        </w:rPr>
      </w:pPr>
    </w:p>
    <w:p w14:paraId="4BC146BF" w14:textId="3F8E4629" w:rsidR="00C056BF" w:rsidRDefault="00C056BF" w:rsidP="008E4FFB">
      <w:pPr>
        <w:pStyle w:val="BodyText"/>
        <w:spacing w:before="1"/>
        <w:ind w:right="328"/>
        <w:rPr>
          <w:sz w:val="24"/>
          <w:szCs w:val="24"/>
        </w:rPr>
      </w:pPr>
      <w:r w:rsidRPr="00834AA8">
        <w:rPr>
          <w:sz w:val="24"/>
          <w:szCs w:val="24"/>
        </w:rPr>
        <w:t xml:space="preserve">The Diversity, Equity, and Inclusion </w:t>
      </w:r>
      <w:r w:rsidR="00596894" w:rsidRPr="00834AA8">
        <w:rPr>
          <w:sz w:val="24"/>
          <w:szCs w:val="24"/>
        </w:rPr>
        <w:t xml:space="preserve">Essential Competency Assessment </w:t>
      </w:r>
      <w:r w:rsidRPr="00834AA8">
        <w:rPr>
          <w:sz w:val="24"/>
          <w:szCs w:val="24"/>
        </w:rPr>
        <w:t>Sub</w:t>
      </w:r>
      <w:r w:rsidR="006578EC" w:rsidRPr="00834AA8">
        <w:rPr>
          <w:sz w:val="24"/>
          <w:szCs w:val="24"/>
        </w:rPr>
        <w:t>c</w:t>
      </w:r>
      <w:r w:rsidRPr="00834AA8">
        <w:rPr>
          <w:sz w:val="24"/>
          <w:szCs w:val="24"/>
        </w:rPr>
        <w:t xml:space="preserve">ommittee will be </w:t>
      </w:r>
      <w:r w:rsidR="00596894" w:rsidRPr="00834AA8">
        <w:rPr>
          <w:sz w:val="24"/>
          <w:szCs w:val="24"/>
        </w:rPr>
        <w:t>responsible for conducting the assessment of the DEI EC courses. Th</w:t>
      </w:r>
      <w:r w:rsidR="004C5A9E">
        <w:rPr>
          <w:sz w:val="24"/>
          <w:szCs w:val="24"/>
        </w:rPr>
        <w:t>e course assessment process will b</w:t>
      </w:r>
      <w:r w:rsidR="00596894" w:rsidRPr="00834AA8">
        <w:rPr>
          <w:sz w:val="24"/>
          <w:szCs w:val="24"/>
        </w:rPr>
        <w:t>e</w:t>
      </w:r>
      <w:r w:rsidR="004C5A9E">
        <w:rPr>
          <w:sz w:val="24"/>
          <w:szCs w:val="24"/>
        </w:rPr>
        <w:t xml:space="preserve"> </w:t>
      </w:r>
      <w:r w:rsidR="00596894" w:rsidRPr="00834AA8">
        <w:rPr>
          <w:sz w:val="24"/>
          <w:szCs w:val="24"/>
        </w:rPr>
        <w:t>annual and will include communicating the results of, and recommendations from, the assessment to faculty</w:t>
      </w:r>
      <w:r w:rsidR="00111213" w:rsidRPr="00834AA8">
        <w:rPr>
          <w:sz w:val="24"/>
          <w:szCs w:val="24"/>
        </w:rPr>
        <w:t xml:space="preserve">, especially those </w:t>
      </w:r>
      <w:r w:rsidR="00596894" w:rsidRPr="00834AA8">
        <w:rPr>
          <w:sz w:val="24"/>
          <w:szCs w:val="24"/>
        </w:rPr>
        <w:t>who taught the DEI EC courses reviewed in the assessment process.</w:t>
      </w:r>
    </w:p>
    <w:p w14:paraId="50267640" w14:textId="6E93498B" w:rsidR="004C5A9E" w:rsidRDefault="004C5A9E" w:rsidP="008E4FFB">
      <w:pPr>
        <w:pStyle w:val="BodyText"/>
        <w:spacing w:before="1"/>
        <w:ind w:right="328"/>
        <w:rPr>
          <w:sz w:val="24"/>
          <w:szCs w:val="24"/>
        </w:rPr>
      </w:pPr>
    </w:p>
    <w:p w14:paraId="35DEF5C9" w14:textId="1814C665" w:rsidR="004C5A9E" w:rsidRPr="00D03FC4" w:rsidRDefault="004C5A9E" w:rsidP="004C5A9E">
      <w:pPr>
        <w:rPr>
          <w:sz w:val="24"/>
          <w:szCs w:val="24"/>
        </w:rPr>
      </w:pPr>
      <w:r>
        <w:rPr>
          <w:sz w:val="24"/>
          <w:szCs w:val="24"/>
        </w:rPr>
        <w:t xml:space="preserve">The assessment process will also include a larger </w:t>
      </w:r>
      <w:r w:rsidR="00E31B24">
        <w:rPr>
          <w:sz w:val="24"/>
          <w:szCs w:val="24"/>
        </w:rPr>
        <w:t xml:space="preserve">periodic </w:t>
      </w:r>
      <w:r>
        <w:rPr>
          <w:sz w:val="24"/>
          <w:szCs w:val="24"/>
        </w:rPr>
        <w:t xml:space="preserve">assessment of the DEI EC learning goals and institutional goals. The DEI EC Assessment Subcommittee will work with the Director of Institutional Effectiveness and Institutional Accreditation to conduct this component of the assessment, and will </w:t>
      </w:r>
      <w:r w:rsidRPr="0092548E">
        <w:rPr>
          <w:sz w:val="24"/>
          <w:szCs w:val="24"/>
        </w:rPr>
        <w:t>share outcomes of the</w:t>
      </w:r>
      <w:r>
        <w:rPr>
          <w:sz w:val="24"/>
          <w:szCs w:val="24"/>
        </w:rPr>
        <w:t>se</w:t>
      </w:r>
      <w:r w:rsidRPr="0092548E">
        <w:rPr>
          <w:sz w:val="24"/>
          <w:szCs w:val="24"/>
        </w:rPr>
        <w:t xml:space="preserve"> assessment </w:t>
      </w:r>
      <w:r>
        <w:rPr>
          <w:sz w:val="24"/>
          <w:szCs w:val="24"/>
        </w:rPr>
        <w:t xml:space="preserve">tools </w:t>
      </w:r>
      <w:r w:rsidRPr="0092548E">
        <w:rPr>
          <w:sz w:val="24"/>
          <w:szCs w:val="24"/>
        </w:rPr>
        <w:t>with faculty, widely, and especially with faculty who taught DEI EC course in that academic year.</w:t>
      </w:r>
    </w:p>
    <w:p w14:paraId="50C3F35D" w14:textId="38AD95FC" w:rsidR="00C056BF" w:rsidRPr="00834AA8" w:rsidRDefault="00C056BF" w:rsidP="004C5A9E">
      <w:pPr>
        <w:pStyle w:val="BodyText"/>
        <w:spacing w:before="1"/>
        <w:ind w:right="328"/>
        <w:rPr>
          <w:sz w:val="24"/>
          <w:szCs w:val="24"/>
        </w:rPr>
      </w:pPr>
    </w:p>
    <w:p w14:paraId="085C18CC" w14:textId="77777777" w:rsidR="00C056BF" w:rsidRPr="00834AA8" w:rsidRDefault="00C056BF" w:rsidP="00C056BF">
      <w:pPr>
        <w:pStyle w:val="Heading1"/>
        <w:rPr>
          <w:sz w:val="24"/>
          <w:szCs w:val="24"/>
        </w:rPr>
      </w:pPr>
      <w:r w:rsidRPr="00834AA8">
        <w:rPr>
          <w:sz w:val="24"/>
          <w:szCs w:val="24"/>
        </w:rPr>
        <w:t>Purpose:</w:t>
      </w:r>
    </w:p>
    <w:p w14:paraId="60307581" w14:textId="77777777" w:rsidR="00080EE8" w:rsidRDefault="00C056BF" w:rsidP="006578EC">
      <w:pPr>
        <w:pStyle w:val="ListParagraph"/>
        <w:numPr>
          <w:ilvl w:val="0"/>
          <w:numId w:val="1"/>
        </w:numPr>
        <w:tabs>
          <w:tab w:val="left" w:pos="1192"/>
          <w:tab w:val="left" w:pos="1193"/>
        </w:tabs>
        <w:spacing w:line="242" w:lineRule="auto"/>
        <w:ind w:right="324"/>
        <w:rPr>
          <w:sz w:val="24"/>
          <w:szCs w:val="24"/>
        </w:rPr>
      </w:pPr>
      <w:r w:rsidRPr="00834AA8">
        <w:rPr>
          <w:sz w:val="24"/>
          <w:szCs w:val="24"/>
        </w:rPr>
        <w:t xml:space="preserve">To </w:t>
      </w:r>
      <w:r w:rsidR="006F7425" w:rsidRPr="00834AA8">
        <w:rPr>
          <w:sz w:val="24"/>
          <w:szCs w:val="24"/>
        </w:rPr>
        <w:t xml:space="preserve">assess courses with the DEI EC </w:t>
      </w:r>
      <w:r w:rsidR="00F6317F" w:rsidRPr="00834AA8">
        <w:rPr>
          <w:sz w:val="24"/>
          <w:szCs w:val="24"/>
        </w:rPr>
        <w:t>designation in the TCU Core Curriculum</w:t>
      </w:r>
    </w:p>
    <w:p w14:paraId="502FEDB3" w14:textId="32429C12" w:rsidR="006578EC" w:rsidRPr="008776C3" w:rsidRDefault="00080EE8" w:rsidP="006578EC">
      <w:pPr>
        <w:pStyle w:val="ListParagraph"/>
        <w:numPr>
          <w:ilvl w:val="0"/>
          <w:numId w:val="1"/>
        </w:numPr>
        <w:tabs>
          <w:tab w:val="left" w:pos="1192"/>
          <w:tab w:val="left" w:pos="1193"/>
        </w:tabs>
        <w:spacing w:line="242" w:lineRule="auto"/>
        <w:ind w:right="324"/>
        <w:rPr>
          <w:sz w:val="24"/>
          <w:szCs w:val="24"/>
        </w:rPr>
      </w:pPr>
      <w:r w:rsidRPr="008776C3">
        <w:rPr>
          <w:sz w:val="24"/>
          <w:szCs w:val="24"/>
        </w:rPr>
        <w:t>T</w:t>
      </w:r>
      <w:r w:rsidR="00680C41" w:rsidRPr="008776C3">
        <w:rPr>
          <w:sz w:val="24"/>
          <w:szCs w:val="24"/>
        </w:rPr>
        <w:t xml:space="preserve">o work with the Faculty Senate and the Director of </w:t>
      </w:r>
      <w:r w:rsidR="00680C41" w:rsidRPr="008776C3">
        <w:rPr>
          <w:rFonts w:cs="Arial"/>
          <w:sz w:val="24"/>
          <w:szCs w:val="24"/>
        </w:rPr>
        <w:t xml:space="preserve">Institutional Effectiveness and Institutional Accreditation </w:t>
      </w:r>
      <w:r w:rsidR="00680C41" w:rsidRPr="008776C3">
        <w:rPr>
          <w:sz w:val="24"/>
          <w:szCs w:val="24"/>
        </w:rPr>
        <w:t>to carry out assessment DEI EC learning/institutional goals</w:t>
      </w:r>
    </w:p>
    <w:p w14:paraId="2B65B6B8" w14:textId="2D8D8C14" w:rsidR="00D07171" w:rsidRPr="008776C3" w:rsidRDefault="00D07171" w:rsidP="00D07171">
      <w:pPr>
        <w:pStyle w:val="ListParagraph"/>
        <w:numPr>
          <w:ilvl w:val="0"/>
          <w:numId w:val="1"/>
        </w:numPr>
        <w:tabs>
          <w:tab w:val="left" w:pos="1192"/>
          <w:tab w:val="left" w:pos="1193"/>
        </w:tabs>
        <w:ind w:right="232"/>
        <w:rPr>
          <w:sz w:val="24"/>
          <w:szCs w:val="24"/>
        </w:rPr>
      </w:pPr>
      <w:r w:rsidRPr="008776C3">
        <w:rPr>
          <w:sz w:val="24"/>
          <w:szCs w:val="24"/>
        </w:rPr>
        <w:t>Assist the DEI EC Committee with maintaining an accurate record of number of course</w:t>
      </w:r>
      <w:r w:rsidR="00C96A73" w:rsidRPr="008776C3">
        <w:rPr>
          <w:sz w:val="24"/>
          <w:szCs w:val="24"/>
        </w:rPr>
        <w:t>s</w:t>
      </w:r>
      <w:r w:rsidRPr="008776C3">
        <w:rPr>
          <w:sz w:val="24"/>
          <w:szCs w:val="24"/>
        </w:rPr>
        <w:t xml:space="preserve"> approved for the DEI EC </w:t>
      </w:r>
    </w:p>
    <w:p w14:paraId="6BADFD8A" w14:textId="47B03160" w:rsidR="00D07171" w:rsidRPr="008776C3" w:rsidRDefault="00D07171" w:rsidP="00D07171">
      <w:pPr>
        <w:pStyle w:val="ListParagraph"/>
        <w:numPr>
          <w:ilvl w:val="0"/>
          <w:numId w:val="1"/>
        </w:numPr>
        <w:tabs>
          <w:tab w:val="left" w:pos="1192"/>
          <w:tab w:val="left" w:pos="1193"/>
        </w:tabs>
        <w:ind w:right="232"/>
        <w:rPr>
          <w:sz w:val="24"/>
          <w:szCs w:val="24"/>
        </w:rPr>
      </w:pPr>
      <w:r w:rsidRPr="008776C3">
        <w:rPr>
          <w:sz w:val="24"/>
          <w:szCs w:val="24"/>
        </w:rPr>
        <w:t xml:space="preserve">Assist the DEI EC Committee with maintaining </w:t>
      </w:r>
      <w:r w:rsidR="00C96A73" w:rsidRPr="008776C3">
        <w:rPr>
          <w:sz w:val="24"/>
          <w:szCs w:val="24"/>
        </w:rPr>
        <w:t>an accurate record of the faculty who have complete the required training to teach the DEI EC courses</w:t>
      </w:r>
    </w:p>
    <w:p w14:paraId="3D3697D0" w14:textId="2A1BE947" w:rsidR="00D07171" w:rsidRPr="00834AA8" w:rsidRDefault="00D07171" w:rsidP="00C96A73">
      <w:pPr>
        <w:tabs>
          <w:tab w:val="left" w:pos="1192"/>
          <w:tab w:val="left" w:pos="1193"/>
        </w:tabs>
        <w:ind w:left="832" w:right="232"/>
        <w:rPr>
          <w:sz w:val="24"/>
          <w:szCs w:val="24"/>
          <w:highlight w:val="yellow"/>
        </w:rPr>
      </w:pPr>
    </w:p>
    <w:p w14:paraId="0854B4D5" w14:textId="0243F934" w:rsidR="006578EC" w:rsidRPr="00834AA8" w:rsidRDefault="006578EC" w:rsidP="006578EC">
      <w:pPr>
        <w:tabs>
          <w:tab w:val="left" w:pos="1552"/>
        </w:tabs>
        <w:spacing w:before="1"/>
        <w:ind w:left="112"/>
        <w:rPr>
          <w:sz w:val="24"/>
          <w:szCs w:val="24"/>
        </w:rPr>
      </w:pPr>
      <w:r w:rsidRPr="00834AA8">
        <w:rPr>
          <w:b/>
          <w:sz w:val="24"/>
          <w:szCs w:val="24"/>
        </w:rPr>
        <w:lastRenderedPageBreak/>
        <w:t>Oversight:</w:t>
      </w:r>
      <w:r w:rsidRPr="00834AA8">
        <w:rPr>
          <w:b/>
          <w:sz w:val="24"/>
          <w:szCs w:val="24"/>
        </w:rPr>
        <w:tab/>
      </w:r>
      <w:r w:rsidRPr="00834AA8">
        <w:rPr>
          <w:sz w:val="24"/>
          <w:szCs w:val="24"/>
        </w:rPr>
        <w:t xml:space="preserve">Faculty Senate </w:t>
      </w:r>
      <w:r w:rsidR="006174EA" w:rsidRPr="00834AA8">
        <w:rPr>
          <w:sz w:val="24"/>
          <w:szCs w:val="24"/>
        </w:rPr>
        <w:t xml:space="preserve"> </w:t>
      </w:r>
    </w:p>
    <w:p w14:paraId="34A9F48B" w14:textId="77777777" w:rsidR="006578EC" w:rsidRPr="00834AA8" w:rsidRDefault="006578EC" w:rsidP="006578EC">
      <w:pPr>
        <w:pStyle w:val="BodyText"/>
        <w:spacing w:before="1"/>
        <w:rPr>
          <w:sz w:val="24"/>
          <w:szCs w:val="24"/>
          <w:highlight w:val="green"/>
        </w:rPr>
      </w:pPr>
    </w:p>
    <w:p w14:paraId="6534D376" w14:textId="07393C4F" w:rsidR="00904F10" w:rsidRDefault="006578EC" w:rsidP="006174EA">
      <w:pPr>
        <w:pStyle w:val="BodyText"/>
        <w:tabs>
          <w:tab w:val="left" w:pos="1552"/>
        </w:tabs>
        <w:ind w:left="112"/>
        <w:rPr>
          <w:sz w:val="24"/>
          <w:szCs w:val="24"/>
        </w:rPr>
      </w:pPr>
      <w:r w:rsidRPr="00834AA8">
        <w:rPr>
          <w:b/>
          <w:sz w:val="24"/>
          <w:szCs w:val="24"/>
        </w:rPr>
        <w:t>Liaison:</w:t>
      </w:r>
      <w:r w:rsidRPr="00834AA8">
        <w:rPr>
          <w:b/>
          <w:sz w:val="24"/>
          <w:szCs w:val="24"/>
        </w:rPr>
        <w:tab/>
      </w:r>
      <w:r w:rsidRPr="00834AA8">
        <w:rPr>
          <w:sz w:val="24"/>
          <w:szCs w:val="24"/>
        </w:rPr>
        <w:t xml:space="preserve">The Chair of the </w:t>
      </w:r>
      <w:r w:rsidR="006174EA" w:rsidRPr="00834AA8">
        <w:rPr>
          <w:sz w:val="24"/>
          <w:szCs w:val="24"/>
        </w:rPr>
        <w:t>Subc</w:t>
      </w:r>
      <w:r w:rsidRPr="00834AA8">
        <w:rPr>
          <w:sz w:val="24"/>
          <w:szCs w:val="24"/>
        </w:rPr>
        <w:t>ommittee will</w:t>
      </w:r>
      <w:r w:rsidR="00695911">
        <w:rPr>
          <w:sz w:val="24"/>
          <w:szCs w:val="24"/>
        </w:rPr>
        <w:t xml:space="preserve"> liaise </w:t>
      </w:r>
      <w:r w:rsidRPr="00834AA8">
        <w:rPr>
          <w:sz w:val="24"/>
          <w:szCs w:val="24"/>
        </w:rPr>
        <w:t>with the FSEC</w:t>
      </w:r>
      <w:r w:rsidR="006174EA" w:rsidRPr="00834AA8">
        <w:rPr>
          <w:sz w:val="24"/>
          <w:szCs w:val="24"/>
        </w:rPr>
        <w:t xml:space="preserve">, </w:t>
      </w:r>
      <w:r w:rsidRPr="00834AA8">
        <w:rPr>
          <w:sz w:val="24"/>
          <w:szCs w:val="24"/>
        </w:rPr>
        <w:t>the Faculty</w:t>
      </w:r>
      <w:r w:rsidRPr="00834AA8">
        <w:rPr>
          <w:spacing w:val="-18"/>
          <w:sz w:val="24"/>
          <w:szCs w:val="24"/>
        </w:rPr>
        <w:t xml:space="preserve"> </w:t>
      </w:r>
      <w:r w:rsidRPr="00834AA8">
        <w:rPr>
          <w:sz w:val="24"/>
          <w:szCs w:val="24"/>
        </w:rPr>
        <w:t>Senate</w:t>
      </w:r>
      <w:r w:rsidR="006174EA" w:rsidRPr="00834AA8">
        <w:rPr>
          <w:sz w:val="24"/>
          <w:szCs w:val="24"/>
        </w:rPr>
        <w:t>, and the</w:t>
      </w:r>
    </w:p>
    <w:p w14:paraId="554878B5" w14:textId="0940ED1E" w:rsidR="006578EC" w:rsidRDefault="00904F10" w:rsidP="006174EA">
      <w:pPr>
        <w:pStyle w:val="BodyText"/>
        <w:tabs>
          <w:tab w:val="left" w:pos="1552"/>
        </w:tabs>
        <w:ind w:left="112"/>
        <w:rPr>
          <w:rFonts w:cs="Arial"/>
          <w:sz w:val="24"/>
          <w:szCs w:val="24"/>
        </w:rPr>
      </w:pPr>
      <w:r>
        <w:rPr>
          <w:sz w:val="24"/>
          <w:szCs w:val="24"/>
        </w:rPr>
        <w:tab/>
      </w:r>
      <w:r w:rsidR="006174EA" w:rsidRPr="00834AA8">
        <w:rPr>
          <w:sz w:val="24"/>
          <w:szCs w:val="24"/>
        </w:rPr>
        <w:t xml:space="preserve">Director of </w:t>
      </w:r>
      <w:r w:rsidR="006174EA" w:rsidRPr="00834AA8">
        <w:rPr>
          <w:rFonts w:cs="Arial"/>
          <w:sz w:val="24"/>
          <w:szCs w:val="24"/>
        </w:rPr>
        <w:t>Institutional Effectiveness and Institutional Accreditation</w:t>
      </w:r>
    </w:p>
    <w:p w14:paraId="1AD54AED" w14:textId="77777777" w:rsidR="00904F10" w:rsidRDefault="00904F10" w:rsidP="006174EA">
      <w:pPr>
        <w:pStyle w:val="BodyText"/>
        <w:tabs>
          <w:tab w:val="left" w:pos="1552"/>
        </w:tabs>
        <w:ind w:left="112"/>
        <w:rPr>
          <w:rFonts w:cs="Arial"/>
          <w:sz w:val="24"/>
          <w:szCs w:val="24"/>
        </w:rPr>
      </w:pPr>
    </w:p>
    <w:p w14:paraId="584B8B4C" w14:textId="0EE33FC6" w:rsidR="006578EC" w:rsidRPr="008776C3" w:rsidRDefault="006578EC" w:rsidP="006578EC">
      <w:pPr>
        <w:pStyle w:val="Heading1"/>
        <w:rPr>
          <w:sz w:val="24"/>
          <w:szCs w:val="24"/>
        </w:rPr>
      </w:pPr>
      <w:r w:rsidRPr="008776C3">
        <w:rPr>
          <w:sz w:val="24"/>
          <w:szCs w:val="24"/>
        </w:rPr>
        <w:t>Membership:</w:t>
      </w:r>
    </w:p>
    <w:p w14:paraId="0F04695D" w14:textId="77777777" w:rsidR="008776C3" w:rsidRPr="008776C3" w:rsidRDefault="008776C3" w:rsidP="008776C3">
      <w:pPr>
        <w:pStyle w:val="ListParagraph"/>
        <w:numPr>
          <w:ilvl w:val="0"/>
          <w:numId w:val="12"/>
        </w:numPr>
        <w:tabs>
          <w:tab w:val="left" w:pos="1192"/>
          <w:tab w:val="left" w:pos="1193"/>
        </w:tabs>
        <w:spacing w:line="242" w:lineRule="auto"/>
        <w:ind w:right="324"/>
        <w:rPr>
          <w:sz w:val="24"/>
          <w:szCs w:val="24"/>
        </w:rPr>
      </w:pPr>
      <w:r w:rsidRPr="008776C3">
        <w:rPr>
          <w:sz w:val="24"/>
          <w:szCs w:val="24"/>
        </w:rPr>
        <w:t>Three to five (3-5) members of the larger DEI EC committee</w:t>
      </w:r>
    </w:p>
    <w:p w14:paraId="374AD3CD" w14:textId="77777777" w:rsidR="008776C3" w:rsidRPr="008776C3" w:rsidRDefault="008776C3" w:rsidP="008776C3">
      <w:pPr>
        <w:pStyle w:val="ListParagraph"/>
        <w:numPr>
          <w:ilvl w:val="0"/>
          <w:numId w:val="12"/>
        </w:numPr>
        <w:tabs>
          <w:tab w:val="left" w:pos="1192"/>
          <w:tab w:val="left" w:pos="1193"/>
        </w:tabs>
        <w:spacing w:line="242" w:lineRule="auto"/>
        <w:ind w:right="324"/>
        <w:rPr>
          <w:sz w:val="24"/>
          <w:szCs w:val="24"/>
        </w:rPr>
      </w:pPr>
      <w:r w:rsidRPr="008776C3">
        <w:rPr>
          <w:sz w:val="24"/>
          <w:szCs w:val="24"/>
        </w:rPr>
        <w:t xml:space="preserve">The Chair of the subcommittee must be a member of the DEI EC committee </w:t>
      </w:r>
    </w:p>
    <w:p w14:paraId="4CAC3018" w14:textId="2A8D5556" w:rsidR="008776C3" w:rsidRPr="008776C3" w:rsidRDefault="008776C3" w:rsidP="008776C3">
      <w:pPr>
        <w:pStyle w:val="ListParagraph"/>
        <w:numPr>
          <w:ilvl w:val="0"/>
          <w:numId w:val="12"/>
        </w:numPr>
        <w:tabs>
          <w:tab w:val="left" w:pos="1192"/>
          <w:tab w:val="left" w:pos="1193"/>
        </w:tabs>
        <w:spacing w:line="242" w:lineRule="auto"/>
        <w:ind w:right="324"/>
        <w:rPr>
          <w:sz w:val="24"/>
          <w:szCs w:val="24"/>
        </w:rPr>
      </w:pPr>
      <w:r w:rsidRPr="008776C3">
        <w:rPr>
          <w:sz w:val="24"/>
          <w:szCs w:val="24"/>
        </w:rPr>
        <w:t xml:space="preserve">It will be acceptable for members to rotate between vetting </w:t>
      </w:r>
      <w:r w:rsidR="009116AF">
        <w:rPr>
          <w:sz w:val="24"/>
          <w:szCs w:val="24"/>
        </w:rPr>
        <w:t xml:space="preserve">courses </w:t>
      </w:r>
      <w:r w:rsidRPr="008776C3">
        <w:rPr>
          <w:sz w:val="24"/>
          <w:szCs w:val="24"/>
        </w:rPr>
        <w:t>and assessing courses</w:t>
      </w:r>
    </w:p>
    <w:p w14:paraId="04BDF3A5" w14:textId="77777777" w:rsidR="008776C3" w:rsidRPr="008776C3" w:rsidRDefault="008776C3" w:rsidP="008776C3">
      <w:pPr>
        <w:pStyle w:val="ListParagraph"/>
        <w:numPr>
          <w:ilvl w:val="0"/>
          <w:numId w:val="12"/>
        </w:numPr>
        <w:tabs>
          <w:tab w:val="left" w:pos="1192"/>
          <w:tab w:val="left" w:pos="1193"/>
        </w:tabs>
        <w:spacing w:line="242" w:lineRule="auto"/>
        <w:ind w:right="324"/>
        <w:rPr>
          <w:sz w:val="24"/>
          <w:szCs w:val="24"/>
        </w:rPr>
      </w:pPr>
      <w:r w:rsidRPr="008776C3">
        <w:rPr>
          <w:sz w:val="24"/>
          <w:szCs w:val="24"/>
        </w:rPr>
        <w:t xml:space="preserve">Two to three (2-3) outside committee members </w:t>
      </w:r>
    </w:p>
    <w:p w14:paraId="3F1256F0" w14:textId="0638BC23" w:rsidR="008776C3" w:rsidRPr="008776C3" w:rsidRDefault="008776C3" w:rsidP="008776C3">
      <w:pPr>
        <w:pStyle w:val="Heading1"/>
        <w:numPr>
          <w:ilvl w:val="0"/>
          <w:numId w:val="12"/>
        </w:numPr>
        <w:rPr>
          <w:b w:val="0"/>
          <w:sz w:val="24"/>
          <w:szCs w:val="24"/>
        </w:rPr>
      </w:pPr>
      <w:r w:rsidRPr="008776C3">
        <w:rPr>
          <w:b w:val="0"/>
          <w:sz w:val="24"/>
          <w:szCs w:val="24"/>
        </w:rPr>
        <w:t>Outside committee members must teach, have recently taught, or be scheduled to teach, a course consistent with DEI EC and/or Cultural Awareness (CA) or Citizenship and Social Values (CSV)</w:t>
      </w:r>
    </w:p>
    <w:p w14:paraId="052DC71D" w14:textId="16E43D72" w:rsidR="0001005F" w:rsidRDefault="0001005F" w:rsidP="008776C3">
      <w:pPr>
        <w:tabs>
          <w:tab w:val="left" w:pos="1192"/>
          <w:tab w:val="left" w:pos="1193"/>
        </w:tabs>
        <w:spacing w:line="242" w:lineRule="auto"/>
        <w:ind w:right="324"/>
        <w:rPr>
          <w:sz w:val="24"/>
          <w:szCs w:val="24"/>
          <w:highlight w:val="yellow"/>
        </w:rPr>
      </w:pPr>
      <w:bookmarkStart w:id="0" w:name="_Hlk25590650"/>
    </w:p>
    <w:bookmarkEnd w:id="0"/>
    <w:p w14:paraId="28F0F35B" w14:textId="3EB4B968" w:rsidR="00B229DE" w:rsidRPr="00834AA8" w:rsidRDefault="00B229DE" w:rsidP="006578EC">
      <w:pPr>
        <w:tabs>
          <w:tab w:val="left" w:pos="1192"/>
          <w:tab w:val="left" w:pos="1193"/>
        </w:tabs>
        <w:spacing w:line="242" w:lineRule="auto"/>
        <w:ind w:right="324"/>
        <w:rPr>
          <w:sz w:val="24"/>
          <w:szCs w:val="24"/>
        </w:rPr>
      </w:pPr>
    </w:p>
    <w:p w14:paraId="49799EE2" w14:textId="62589F4C" w:rsidR="00C9692F" w:rsidRPr="001078EE" w:rsidRDefault="007C4429" w:rsidP="001078EE">
      <w:pPr>
        <w:tabs>
          <w:tab w:val="left" w:pos="1192"/>
          <w:tab w:val="left" w:pos="1193"/>
        </w:tabs>
        <w:spacing w:line="242" w:lineRule="auto"/>
        <w:ind w:right="324"/>
        <w:jc w:val="center"/>
        <w:rPr>
          <w:b/>
          <w:sz w:val="28"/>
          <w:szCs w:val="24"/>
        </w:rPr>
      </w:pPr>
      <w:r w:rsidRPr="001078EE">
        <w:rPr>
          <w:b/>
          <w:sz w:val="28"/>
          <w:szCs w:val="24"/>
        </w:rPr>
        <w:t xml:space="preserve">Assessment </w:t>
      </w:r>
      <w:r w:rsidR="00C9692F" w:rsidRPr="001078EE">
        <w:rPr>
          <w:b/>
          <w:sz w:val="28"/>
          <w:szCs w:val="24"/>
        </w:rPr>
        <w:t>Process</w:t>
      </w:r>
    </w:p>
    <w:p w14:paraId="0594D991" w14:textId="1C270684" w:rsidR="00834AA8" w:rsidRPr="005A4434" w:rsidRDefault="00834AA8" w:rsidP="00834AA8">
      <w:pPr>
        <w:contextualSpacing/>
        <w:rPr>
          <w:b/>
          <w:sz w:val="24"/>
          <w:szCs w:val="24"/>
        </w:rPr>
      </w:pPr>
      <w:r w:rsidRPr="009116AF">
        <w:rPr>
          <w:b/>
          <w:sz w:val="24"/>
          <w:szCs w:val="24"/>
        </w:rPr>
        <w:t>I. Assessment of Courses:</w:t>
      </w:r>
    </w:p>
    <w:p w14:paraId="3ED10E4A" w14:textId="5E98BE2B" w:rsidR="00834AA8" w:rsidRDefault="2C03CEB1" w:rsidP="2C03CEB1">
      <w:pPr>
        <w:rPr>
          <w:sz w:val="24"/>
          <w:szCs w:val="24"/>
        </w:rPr>
      </w:pPr>
      <w:bookmarkStart w:id="1" w:name="_Hlk25328593"/>
      <w:r w:rsidRPr="2C03CEB1">
        <w:rPr>
          <w:sz w:val="24"/>
          <w:szCs w:val="24"/>
        </w:rPr>
        <w:t xml:space="preserve">Using the information faculty submitted when vetting courses for the DEI Essential Competency, the DEI EC Assessment Subcommittee </w:t>
      </w:r>
      <w:r w:rsidR="001176DE" w:rsidRPr="00FE4A3E">
        <w:rPr>
          <w:sz w:val="24"/>
          <w:szCs w:val="24"/>
        </w:rPr>
        <w:t>will collect a representative sample of DEI EC courses taught across colleges and schools in each academic year. In addition, the DEI EC Assessment Subcommittee will utilize a random sampling method to assess courses within a particular college or school to ensure that courses are not overrepresented or underrepresented from any single academic department or unit on campus</w:t>
      </w:r>
      <w:r w:rsidR="001176DE">
        <w:rPr>
          <w:sz w:val="24"/>
          <w:szCs w:val="24"/>
        </w:rPr>
        <w:t>.</w:t>
      </w:r>
      <w:r w:rsidR="001176DE">
        <w:t xml:space="preserve"> </w:t>
      </w:r>
      <w:r w:rsidRPr="2C03CEB1">
        <w:rPr>
          <w:sz w:val="24"/>
          <w:szCs w:val="24"/>
        </w:rPr>
        <w:t>The DEI EC Assessment Subcommittee will request artifacts of student learning indicated on the vetting form</w:t>
      </w:r>
      <w:r w:rsidR="00D85897">
        <w:rPr>
          <w:sz w:val="24"/>
          <w:szCs w:val="24"/>
        </w:rPr>
        <w:t>s</w:t>
      </w:r>
      <w:r w:rsidRPr="2C03CEB1">
        <w:rPr>
          <w:sz w:val="24"/>
          <w:szCs w:val="24"/>
        </w:rPr>
        <w:t xml:space="preserve">, and review those artifacts to determine how well students met the DEI EC competency. The Assessment Subcommittee </w:t>
      </w:r>
      <w:r w:rsidR="00E12A43">
        <w:rPr>
          <w:sz w:val="24"/>
          <w:szCs w:val="24"/>
        </w:rPr>
        <w:t xml:space="preserve">should </w:t>
      </w:r>
      <w:r w:rsidR="00D85897">
        <w:rPr>
          <w:sz w:val="24"/>
          <w:szCs w:val="24"/>
        </w:rPr>
        <w:t xml:space="preserve">work with the </w:t>
      </w:r>
      <w:r w:rsidR="00D85897" w:rsidRPr="008776C3">
        <w:rPr>
          <w:sz w:val="24"/>
          <w:szCs w:val="24"/>
        </w:rPr>
        <w:t xml:space="preserve">Director of </w:t>
      </w:r>
      <w:r w:rsidR="00D85897" w:rsidRPr="008776C3">
        <w:rPr>
          <w:rFonts w:cs="Arial"/>
          <w:sz w:val="24"/>
          <w:szCs w:val="24"/>
        </w:rPr>
        <w:t>Institutional Effectiveness and Institutional Accreditation</w:t>
      </w:r>
      <w:r w:rsidR="00D85897" w:rsidRPr="2C03CEB1">
        <w:rPr>
          <w:sz w:val="24"/>
          <w:szCs w:val="24"/>
        </w:rPr>
        <w:t xml:space="preserve"> </w:t>
      </w:r>
      <w:r w:rsidR="00D85897">
        <w:rPr>
          <w:sz w:val="24"/>
          <w:szCs w:val="24"/>
        </w:rPr>
        <w:t xml:space="preserve">to develop an appropriate assessment strategy and assessment tools that </w:t>
      </w:r>
      <w:r w:rsidR="0028180C">
        <w:rPr>
          <w:sz w:val="24"/>
          <w:szCs w:val="24"/>
        </w:rPr>
        <w:t xml:space="preserve">align </w:t>
      </w:r>
      <w:r w:rsidR="00E12A43">
        <w:rPr>
          <w:sz w:val="24"/>
          <w:szCs w:val="24"/>
        </w:rPr>
        <w:t>with the competency statement for the DEI EC.</w:t>
      </w:r>
    </w:p>
    <w:p w14:paraId="087994EE" w14:textId="77777777" w:rsidR="00CB3ECB" w:rsidRDefault="00CB3ECB" w:rsidP="00834AA8">
      <w:pPr>
        <w:rPr>
          <w:sz w:val="24"/>
          <w:szCs w:val="24"/>
        </w:rPr>
      </w:pPr>
    </w:p>
    <w:p w14:paraId="751E0CDD" w14:textId="77777777" w:rsidR="00834AA8" w:rsidRDefault="00834AA8" w:rsidP="00834AA8">
      <w:pPr>
        <w:contextualSpacing/>
        <w:rPr>
          <w:sz w:val="24"/>
          <w:szCs w:val="24"/>
        </w:rPr>
      </w:pPr>
      <w:r>
        <w:rPr>
          <w:sz w:val="24"/>
          <w:szCs w:val="24"/>
        </w:rPr>
        <w:t>The DEI EC Assessment Subcommittee will s</w:t>
      </w:r>
      <w:r w:rsidRPr="005A4434">
        <w:rPr>
          <w:sz w:val="24"/>
          <w:szCs w:val="24"/>
        </w:rPr>
        <w:t>hare outcomes of the assessment with faculty</w:t>
      </w:r>
      <w:r>
        <w:rPr>
          <w:sz w:val="24"/>
          <w:szCs w:val="24"/>
        </w:rPr>
        <w:t>, widely, and especially with faculty who taught DEI EC course in that academic year.</w:t>
      </w:r>
    </w:p>
    <w:bookmarkEnd w:id="1"/>
    <w:p w14:paraId="1CE06E47" w14:textId="77777777" w:rsidR="00834AA8" w:rsidRDefault="00834AA8" w:rsidP="00834AA8">
      <w:pPr>
        <w:contextualSpacing/>
        <w:rPr>
          <w:sz w:val="24"/>
          <w:szCs w:val="24"/>
        </w:rPr>
      </w:pPr>
    </w:p>
    <w:p w14:paraId="7DB136FD" w14:textId="77777777" w:rsidR="00834AA8" w:rsidRPr="009116AF" w:rsidRDefault="00834AA8" w:rsidP="00834AA8">
      <w:pPr>
        <w:contextualSpacing/>
        <w:rPr>
          <w:szCs w:val="24"/>
        </w:rPr>
      </w:pPr>
      <w:r w:rsidRPr="009116AF">
        <w:rPr>
          <w:b/>
          <w:sz w:val="24"/>
          <w:szCs w:val="24"/>
        </w:rPr>
        <w:t>II. Assessment of Institutional Goals:</w:t>
      </w:r>
    </w:p>
    <w:p w14:paraId="1297789B" w14:textId="77777777" w:rsidR="00834AA8" w:rsidRPr="00DF23E4" w:rsidRDefault="00834AA8" w:rsidP="00834AA8">
      <w:pPr>
        <w:contextualSpacing/>
        <w:rPr>
          <w:sz w:val="24"/>
          <w:szCs w:val="24"/>
        </w:rPr>
      </w:pPr>
      <w:r>
        <w:rPr>
          <w:sz w:val="24"/>
          <w:szCs w:val="24"/>
        </w:rPr>
        <w:t xml:space="preserve">A. </w:t>
      </w:r>
      <w:bookmarkStart w:id="2" w:name="_Hlk25328647"/>
      <w:r w:rsidRPr="00DF23E4">
        <w:rPr>
          <w:sz w:val="24"/>
          <w:szCs w:val="24"/>
        </w:rPr>
        <w:t xml:space="preserve">The DEI Essential Competency Committee and Assessment Subcommittee will work with Director of </w:t>
      </w:r>
      <w:r w:rsidRPr="00DF23E4">
        <w:rPr>
          <w:rFonts w:cs="Arial"/>
          <w:sz w:val="24"/>
          <w:szCs w:val="24"/>
        </w:rPr>
        <w:t>Institutional Effectiveness and Institutional Accreditation</w:t>
      </w:r>
      <w:r>
        <w:rPr>
          <w:rFonts w:cs="Arial"/>
          <w:sz w:val="24"/>
          <w:szCs w:val="24"/>
        </w:rPr>
        <w:t xml:space="preserve"> </w:t>
      </w:r>
      <w:r w:rsidRPr="00DF23E4">
        <w:rPr>
          <w:sz w:val="24"/>
          <w:szCs w:val="24"/>
        </w:rPr>
        <w:t>t</w:t>
      </w:r>
      <w:bookmarkStart w:id="3" w:name="_GoBack"/>
      <w:bookmarkEnd w:id="3"/>
      <w:r w:rsidRPr="00DF23E4">
        <w:rPr>
          <w:sz w:val="24"/>
          <w:szCs w:val="24"/>
        </w:rPr>
        <w:t>o create a brief survey aligned with concepts in the Intercultural Competence work, and designed to capture data on:</w:t>
      </w:r>
    </w:p>
    <w:p w14:paraId="57FA8CFA" w14:textId="77777777" w:rsidR="00834AA8" w:rsidRPr="005A4434" w:rsidRDefault="00834AA8" w:rsidP="00834AA8">
      <w:pPr>
        <w:pStyle w:val="paragraph"/>
        <w:numPr>
          <w:ilvl w:val="0"/>
          <w:numId w:val="10"/>
        </w:numPr>
        <w:spacing w:before="0" w:beforeAutospacing="0" w:after="0" w:afterAutospacing="0"/>
        <w:contextualSpacing/>
        <w:textAlignment w:val="baseline"/>
        <w:rPr>
          <w:rFonts w:ascii="Garamond" w:hAnsi="Garamond" w:cs="Calibri"/>
        </w:rPr>
      </w:pPr>
      <w:r w:rsidRPr="005A4434">
        <w:rPr>
          <w:rStyle w:val="normaltextrun"/>
          <w:rFonts w:ascii="Garamond" w:hAnsi="Garamond" w:cs="Calibri"/>
        </w:rPr>
        <w:t>Student and faculty perceptions of DEI efforts, including the degree to which participants report they have progressed in terms of the competency statement and as related to the particular student outcomes identified for inclusion in the course (i.e., ability to communicate/engage with and across diverse communities and identities; self-awareness; action; and application to the discipline)</w:t>
      </w:r>
      <w:r w:rsidRPr="005A4434">
        <w:rPr>
          <w:rStyle w:val="eop"/>
          <w:rFonts w:ascii="Garamond" w:hAnsi="Garamond" w:cs="Calibri"/>
        </w:rPr>
        <w:t> </w:t>
      </w:r>
    </w:p>
    <w:p w14:paraId="41FF3547" w14:textId="77777777" w:rsidR="00834AA8" w:rsidRPr="005A4434" w:rsidRDefault="00834AA8" w:rsidP="00834AA8">
      <w:pPr>
        <w:pStyle w:val="paragraph"/>
        <w:numPr>
          <w:ilvl w:val="0"/>
          <w:numId w:val="10"/>
        </w:numPr>
        <w:spacing w:before="0" w:beforeAutospacing="0" w:after="0" w:afterAutospacing="0"/>
        <w:contextualSpacing/>
        <w:textAlignment w:val="baseline"/>
        <w:rPr>
          <w:rFonts w:ascii="Garamond" w:hAnsi="Garamond" w:cs="Calibri"/>
        </w:rPr>
      </w:pPr>
      <w:r w:rsidRPr="005A4434">
        <w:rPr>
          <w:rStyle w:val="normaltextrun"/>
          <w:rFonts w:ascii="Garamond" w:hAnsi="Garamond" w:cs="Calibri"/>
        </w:rPr>
        <w:t>Student and faculty perceptions of the value of the work products/artifacts/readings in the course related to DEI efforts</w:t>
      </w:r>
      <w:r w:rsidRPr="005A4434">
        <w:rPr>
          <w:rStyle w:val="eop"/>
          <w:rFonts w:ascii="Garamond" w:hAnsi="Garamond" w:cs="Calibri"/>
        </w:rPr>
        <w:t> </w:t>
      </w:r>
    </w:p>
    <w:p w14:paraId="76ABB231" w14:textId="77777777" w:rsidR="00834AA8" w:rsidRPr="005A4434" w:rsidRDefault="00834AA8" w:rsidP="00834AA8">
      <w:pPr>
        <w:pStyle w:val="paragraph"/>
        <w:numPr>
          <w:ilvl w:val="0"/>
          <w:numId w:val="10"/>
        </w:numPr>
        <w:spacing w:before="0" w:beforeAutospacing="0" w:after="0" w:afterAutospacing="0"/>
        <w:contextualSpacing/>
        <w:textAlignment w:val="baseline"/>
        <w:rPr>
          <w:rFonts w:ascii="Garamond" w:hAnsi="Garamond" w:cs="Calibri"/>
        </w:rPr>
      </w:pPr>
      <w:r w:rsidRPr="005A4434">
        <w:rPr>
          <w:rStyle w:val="normaltextrun"/>
          <w:rFonts w:ascii="Garamond" w:hAnsi="Garamond" w:cs="Calibri"/>
        </w:rPr>
        <w:t>Student and faculty perceptions of the range of “critical social identities” addressed in the course through readings, dialogues, and/or assignments.</w:t>
      </w:r>
      <w:r w:rsidRPr="005A4434">
        <w:rPr>
          <w:rStyle w:val="eop"/>
          <w:rFonts w:ascii="Garamond" w:hAnsi="Garamond" w:cs="Calibri"/>
        </w:rPr>
        <w:t> </w:t>
      </w:r>
    </w:p>
    <w:p w14:paraId="33DFF3FE" w14:textId="77777777" w:rsidR="00834AA8" w:rsidRPr="005A4434" w:rsidRDefault="00834AA8" w:rsidP="00834AA8">
      <w:pPr>
        <w:pStyle w:val="paragraph"/>
        <w:numPr>
          <w:ilvl w:val="0"/>
          <w:numId w:val="10"/>
        </w:numPr>
        <w:spacing w:before="0" w:beforeAutospacing="0" w:after="0" w:afterAutospacing="0"/>
        <w:contextualSpacing/>
        <w:textAlignment w:val="baseline"/>
        <w:rPr>
          <w:rFonts w:ascii="Garamond" w:hAnsi="Garamond" w:cs="Calibri"/>
        </w:rPr>
      </w:pPr>
      <w:r w:rsidRPr="005A4434">
        <w:rPr>
          <w:rStyle w:val="normaltextrun"/>
          <w:rFonts w:ascii="Garamond" w:hAnsi="Garamond" w:cs="Calibri"/>
        </w:rPr>
        <w:t>Student and faculty connections of learning experiences with application (in personal/professional relationships; in classrooms and/or the workplace; with regard to current events) [open-ended item]</w:t>
      </w:r>
      <w:r w:rsidRPr="005A4434">
        <w:rPr>
          <w:rStyle w:val="eop"/>
          <w:rFonts w:ascii="Garamond" w:hAnsi="Garamond" w:cs="Calibri"/>
        </w:rPr>
        <w:t> </w:t>
      </w:r>
    </w:p>
    <w:p w14:paraId="31A02A38" w14:textId="77777777" w:rsidR="00834AA8" w:rsidRPr="005A4434" w:rsidRDefault="00834AA8" w:rsidP="00834AA8">
      <w:pPr>
        <w:pStyle w:val="paragraph"/>
        <w:numPr>
          <w:ilvl w:val="0"/>
          <w:numId w:val="10"/>
        </w:numPr>
        <w:spacing w:before="0" w:beforeAutospacing="0" w:after="0" w:afterAutospacing="0"/>
        <w:contextualSpacing/>
        <w:textAlignment w:val="baseline"/>
        <w:rPr>
          <w:rStyle w:val="eop"/>
          <w:rFonts w:ascii="Garamond" w:hAnsi="Garamond" w:cs="Calibri"/>
        </w:rPr>
      </w:pPr>
      <w:r w:rsidRPr="005A4434">
        <w:rPr>
          <w:rStyle w:val="normaltextrun"/>
          <w:rFonts w:ascii="Garamond" w:hAnsi="Garamond" w:cs="Calibri"/>
        </w:rPr>
        <w:t>Student and faculty suggestions for strengthening/improvement of the course (or courses) with regard to DEI outcomes [open-ended item]</w:t>
      </w:r>
      <w:r w:rsidRPr="005A4434">
        <w:rPr>
          <w:rStyle w:val="eop"/>
          <w:rFonts w:ascii="Garamond" w:hAnsi="Garamond" w:cs="Calibri"/>
        </w:rPr>
        <w:t> </w:t>
      </w:r>
    </w:p>
    <w:p w14:paraId="6880831A" w14:textId="77777777" w:rsidR="00834AA8" w:rsidRPr="005A4434" w:rsidRDefault="00834AA8" w:rsidP="00834AA8">
      <w:pPr>
        <w:pStyle w:val="paragraph"/>
        <w:spacing w:before="0" w:beforeAutospacing="0" w:after="0" w:afterAutospacing="0"/>
        <w:ind w:left="1800"/>
        <w:contextualSpacing/>
        <w:textAlignment w:val="baseline"/>
        <w:rPr>
          <w:rFonts w:ascii="Garamond" w:hAnsi="Garamond" w:cs="Calibri"/>
        </w:rPr>
      </w:pPr>
    </w:p>
    <w:p w14:paraId="4F35B307" w14:textId="77777777" w:rsidR="00D076B5" w:rsidRDefault="00834AA8" w:rsidP="00D076B5">
      <w:pPr>
        <w:rPr>
          <w:sz w:val="24"/>
          <w:szCs w:val="24"/>
        </w:rPr>
      </w:pPr>
      <w:r w:rsidRPr="005A4434">
        <w:rPr>
          <w:sz w:val="24"/>
          <w:szCs w:val="24"/>
        </w:rPr>
        <w:lastRenderedPageBreak/>
        <w:t xml:space="preserve">This survey would, in the ideal, be deployed approximately ¾ of the way through the </w:t>
      </w:r>
      <w:r>
        <w:rPr>
          <w:sz w:val="24"/>
          <w:szCs w:val="24"/>
        </w:rPr>
        <w:t>semester</w:t>
      </w:r>
      <w:r w:rsidRPr="005A4434">
        <w:rPr>
          <w:sz w:val="24"/>
          <w:szCs w:val="24"/>
        </w:rPr>
        <w:t xml:space="preserve">, with results fed back to instructors for reflection/revision of future courses if needed, and aggregated for presentation in </w:t>
      </w:r>
      <w:r>
        <w:rPr>
          <w:sz w:val="24"/>
          <w:szCs w:val="24"/>
        </w:rPr>
        <w:t>a</w:t>
      </w:r>
      <w:r w:rsidRPr="005A4434">
        <w:rPr>
          <w:sz w:val="24"/>
          <w:szCs w:val="24"/>
        </w:rPr>
        <w:t xml:space="preserve"> report </w:t>
      </w:r>
      <w:r>
        <w:rPr>
          <w:sz w:val="24"/>
          <w:szCs w:val="24"/>
        </w:rPr>
        <w:t>to t</w:t>
      </w:r>
      <w:r w:rsidRPr="005A4434">
        <w:rPr>
          <w:sz w:val="24"/>
          <w:szCs w:val="24"/>
        </w:rPr>
        <w:t>he DEI Essential Competency Committee.</w:t>
      </w:r>
    </w:p>
    <w:p w14:paraId="642C284C" w14:textId="77777777" w:rsidR="00D076B5" w:rsidRDefault="00D076B5" w:rsidP="00D076B5">
      <w:pPr>
        <w:rPr>
          <w:sz w:val="24"/>
          <w:szCs w:val="24"/>
        </w:rPr>
      </w:pPr>
    </w:p>
    <w:p w14:paraId="7089E923" w14:textId="67A27AE8" w:rsidR="00D076B5" w:rsidRDefault="35E68C6B" w:rsidP="35E68C6B">
      <w:pPr>
        <w:rPr>
          <w:sz w:val="24"/>
          <w:szCs w:val="24"/>
        </w:rPr>
      </w:pPr>
      <w:r w:rsidRPr="35E68C6B">
        <w:rPr>
          <w:sz w:val="24"/>
          <w:szCs w:val="24"/>
        </w:rPr>
        <w:t xml:space="preserve"> B. The DEI Essential Competency Committee and Assessment Subcommittee will develop a checklist/brief report form to be requested of a</w:t>
      </w:r>
      <w:r w:rsidR="00E12A43">
        <w:rPr>
          <w:sz w:val="24"/>
          <w:szCs w:val="24"/>
        </w:rPr>
        <w:t xml:space="preserve"> </w:t>
      </w:r>
      <w:r w:rsidR="00E12A43">
        <w:t xml:space="preserve">college/school-level representative selection of randomly sampled </w:t>
      </w:r>
      <w:r w:rsidRPr="35E68C6B">
        <w:rPr>
          <w:sz w:val="24"/>
          <w:szCs w:val="24"/>
        </w:rPr>
        <w:t>DEI EC courses taught that academic year. The checklist/brief report would ask the instructor to:</w:t>
      </w:r>
    </w:p>
    <w:p w14:paraId="75C1CB1D" w14:textId="77777777" w:rsidR="00D076B5" w:rsidRPr="0092548E" w:rsidRDefault="00D076B5" w:rsidP="00D076B5">
      <w:pPr>
        <w:pStyle w:val="ListParagraph"/>
        <w:widowControl/>
        <w:numPr>
          <w:ilvl w:val="0"/>
          <w:numId w:val="11"/>
        </w:numPr>
        <w:autoSpaceDE/>
        <w:autoSpaceDN/>
        <w:spacing w:after="160"/>
        <w:contextualSpacing/>
        <w:rPr>
          <w:rStyle w:val="normaltextrun"/>
          <w:rFonts w:cs="Calibri"/>
          <w:color w:val="000000"/>
          <w:sz w:val="24"/>
          <w:szCs w:val="24"/>
          <w:bdr w:val="none" w:sz="0" w:space="0" w:color="auto" w:frame="1"/>
        </w:rPr>
      </w:pPr>
      <w:r w:rsidRPr="0092548E">
        <w:rPr>
          <w:rStyle w:val="normaltextrun"/>
          <w:rFonts w:cs="Calibri"/>
          <w:color w:val="000000"/>
          <w:sz w:val="24"/>
          <w:szCs w:val="24"/>
          <w:bdr w:val="none" w:sz="0" w:space="0" w:color="auto" w:frame="1"/>
        </w:rPr>
        <w:t>briefly synthesize course-level evidence around student progress on the pertinent learning goals;</w:t>
      </w:r>
    </w:p>
    <w:p w14:paraId="269A0ADA" w14:textId="77777777" w:rsidR="00D076B5" w:rsidRPr="0092548E" w:rsidRDefault="00D076B5" w:rsidP="00D076B5">
      <w:pPr>
        <w:pStyle w:val="ListParagraph"/>
        <w:widowControl/>
        <w:numPr>
          <w:ilvl w:val="0"/>
          <w:numId w:val="11"/>
        </w:numPr>
        <w:autoSpaceDE/>
        <w:autoSpaceDN/>
        <w:spacing w:after="160"/>
        <w:contextualSpacing/>
        <w:rPr>
          <w:rStyle w:val="normaltextrun"/>
          <w:sz w:val="24"/>
          <w:szCs w:val="24"/>
        </w:rPr>
      </w:pPr>
      <w:r w:rsidRPr="0092548E">
        <w:rPr>
          <w:rStyle w:val="normaltextrun"/>
          <w:rFonts w:cs="Calibri"/>
          <w:color w:val="000000"/>
          <w:sz w:val="24"/>
          <w:szCs w:val="24"/>
          <w:bdr w:val="none" w:sz="0" w:space="0" w:color="auto" w:frame="1"/>
        </w:rPr>
        <w:t>provide this brief (100 word, maximum) synthesis of course DEI outcomes</w:t>
      </w:r>
      <w:r>
        <w:rPr>
          <w:rStyle w:val="normaltextrun"/>
          <w:rFonts w:cs="Calibri"/>
          <w:color w:val="000000"/>
          <w:sz w:val="24"/>
          <w:szCs w:val="24"/>
          <w:bdr w:val="none" w:sz="0" w:space="0" w:color="auto" w:frame="1"/>
        </w:rPr>
        <w:t>;</w:t>
      </w:r>
    </w:p>
    <w:p w14:paraId="7E9F15A6" w14:textId="77777777" w:rsidR="00D076B5" w:rsidRPr="002270E9" w:rsidRDefault="00D076B5" w:rsidP="00D076B5">
      <w:pPr>
        <w:pStyle w:val="ListParagraph"/>
        <w:widowControl/>
        <w:numPr>
          <w:ilvl w:val="0"/>
          <w:numId w:val="11"/>
        </w:numPr>
        <w:autoSpaceDE/>
        <w:autoSpaceDN/>
        <w:spacing w:after="160"/>
        <w:contextualSpacing/>
        <w:rPr>
          <w:rStyle w:val="normaltextrun"/>
          <w:sz w:val="24"/>
          <w:szCs w:val="24"/>
        </w:rPr>
      </w:pPr>
      <w:r w:rsidRPr="0092548E">
        <w:rPr>
          <w:rStyle w:val="normaltextrun"/>
          <w:rFonts w:cs="Calibri"/>
          <w:color w:val="000000"/>
          <w:sz w:val="24"/>
          <w:szCs w:val="24"/>
          <w:bdr w:val="none" w:sz="0" w:space="0" w:color="auto" w:frame="1"/>
        </w:rPr>
        <w:t>Include 2-3 artifacts related to the synthesis (e.g., work samples/papers with student names redacted) to the DEI EC Assessment Subcommittee.</w:t>
      </w:r>
    </w:p>
    <w:p w14:paraId="380E73F2" w14:textId="77777777" w:rsidR="00D076B5" w:rsidRPr="002270E9" w:rsidRDefault="00D076B5" w:rsidP="00D076B5">
      <w:pPr>
        <w:rPr>
          <w:rStyle w:val="normaltextrun"/>
          <w:sz w:val="24"/>
          <w:szCs w:val="24"/>
        </w:rPr>
      </w:pPr>
    </w:p>
    <w:p w14:paraId="1D82E175" w14:textId="2C25B6BD" w:rsidR="00D076B5" w:rsidRDefault="00D076B5" w:rsidP="00D076B5">
      <w:pPr>
        <w:rPr>
          <w:sz w:val="24"/>
          <w:szCs w:val="24"/>
        </w:rPr>
      </w:pPr>
      <w:r w:rsidRPr="002270E9">
        <w:rPr>
          <w:sz w:val="24"/>
          <w:szCs w:val="24"/>
        </w:rPr>
        <w:t xml:space="preserve">The DEI EC Vetting Committee and Assessment Subcommittee, working with the Director of </w:t>
      </w:r>
      <w:r w:rsidRPr="002270E9">
        <w:rPr>
          <w:rFonts w:cs="Arial"/>
          <w:sz w:val="24"/>
          <w:szCs w:val="24"/>
        </w:rPr>
        <w:t>Institutional Effectiveness and Institutional Accreditation will determine how frequently to conduct th</w:t>
      </w:r>
      <w:r>
        <w:rPr>
          <w:rFonts w:cs="Arial"/>
          <w:sz w:val="24"/>
          <w:szCs w:val="24"/>
        </w:rPr>
        <w:t>e sur</w:t>
      </w:r>
      <w:r w:rsidR="00EC5939">
        <w:rPr>
          <w:rFonts w:cs="Arial"/>
          <w:sz w:val="24"/>
          <w:szCs w:val="24"/>
        </w:rPr>
        <w:t xml:space="preserve">vey described above in item II., </w:t>
      </w:r>
      <w:r>
        <w:rPr>
          <w:rFonts w:cs="Arial"/>
          <w:sz w:val="24"/>
          <w:szCs w:val="24"/>
        </w:rPr>
        <w:t>A and the checklist described above in item II, B.</w:t>
      </w:r>
      <w:r w:rsidRPr="002270E9">
        <w:rPr>
          <w:rFonts w:cs="Arial"/>
          <w:sz w:val="24"/>
          <w:szCs w:val="24"/>
        </w:rPr>
        <w:t>, but no less than once every three years.</w:t>
      </w:r>
      <w:r>
        <w:rPr>
          <w:rFonts w:cs="Arial"/>
          <w:sz w:val="24"/>
          <w:szCs w:val="24"/>
        </w:rPr>
        <w:t xml:space="preserve"> </w:t>
      </w:r>
    </w:p>
    <w:p w14:paraId="0BD20DE4" w14:textId="46B8D7A7" w:rsidR="00E81534" w:rsidRPr="00D03FC4" w:rsidRDefault="00D076B5" w:rsidP="00E132D5">
      <w:pPr>
        <w:rPr>
          <w:sz w:val="24"/>
          <w:szCs w:val="24"/>
        </w:rPr>
      </w:pPr>
      <w:r w:rsidRPr="0092548E">
        <w:rPr>
          <w:sz w:val="24"/>
          <w:szCs w:val="24"/>
        </w:rPr>
        <w:t>The DEI EC Assessment Subcommittee will share outcomes of the</w:t>
      </w:r>
      <w:r>
        <w:rPr>
          <w:sz w:val="24"/>
          <w:szCs w:val="24"/>
        </w:rPr>
        <w:t>se</w:t>
      </w:r>
      <w:r w:rsidRPr="0092548E">
        <w:rPr>
          <w:sz w:val="24"/>
          <w:szCs w:val="24"/>
        </w:rPr>
        <w:t xml:space="preserve"> assessment </w:t>
      </w:r>
      <w:r>
        <w:rPr>
          <w:sz w:val="24"/>
          <w:szCs w:val="24"/>
        </w:rPr>
        <w:t xml:space="preserve">tools </w:t>
      </w:r>
      <w:r w:rsidRPr="0092548E">
        <w:rPr>
          <w:sz w:val="24"/>
          <w:szCs w:val="24"/>
        </w:rPr>
        <w:t>with faculty, widely, and especially with faculty who taught DEI EC course in that academic year.</w:t>
      </w:r>
      <w:bookmarkEnd w:id="2"/>
    </w:p>
    <w:sectPr w:rsidR="00E81534" w:rsidRPr="00D03FC4" w:rsidSect="00F025DC">
      <w:headerReference w:type="default" r:id="rId7"/>
      <w:footerReference w:type="default" r:id="rId8"/>
      <w:type w:val="continuous"/>
      <w:pgSz w:w="12240" w:h="15840"/>
      <w:pgMar w:top="920" w:right="1040" w:bottom="280" w:left="10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ED997" w14:textId="77777777" w:rsidR="001015C2" w:rsidRDefault="001015C2" w:rsidP="00434F71">
      <w:r>
        <w:separator/>
      </w:r>
    </w:p>
  </w:endnote>
  <w:endnote w:type="continuationSeparator" w:id="0">
    <w:p w14:paraId="525D1143" w14:textId="77777777" w:rsidR="001015C2" w:rsidRDefault="001015C2" w:rsidP="0043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30394"/>
      <w:docPartObj>
        <w:docPartGallery w:val="Page Numbers (Bottom of Page)"/>
        <w:docPartUnique/>
      </w:docPartObj>
    </w:sdtPr>
    <w:sdtEndPr>
      <w:rPr>
        <w:noProof/>
      </w:rPr>
    </w:sdtEndPr>
    <w:sdtContent>
      <w:p w14:paraId="135C4726" w14:textId="7BC507BE" w:rsidR="008A67D3" w:rsidRDefault="008A67D3">
        <w:pPr>
          <w:pStyle w:val="Footer"/>
          <w:jc w:val="right"/>
        </w:pPr>
        <w:r>
          <w:fldChar w:fldCharType="begin"/>
        </w:r>
        <w:r>
          <w:instrText xml:space="preserve"> PAGE   \* MERGEFORMAT </w:instrText>
        </w:r>
        <w:r>
          <w:fldChar w:fldCharType="separate"/>
        </w:r>
        <w:r w:rsidR="00EC5939">
          <w:rPr>
            <w:noProof/>
          </w:rPr>
          <w:t>4</w:t>
        </w:r>
        <w:r>
          <w:rPr>
            <w:noProof/>
          </w:rPr>
          <w:fldChar w:fldCharType="end"/>
        </w:r>
      </w:p>
    </w:sdtContent>
  </w:sdt>
  <w:p w14:paraId="07B2A391" w14:textId="77777777" w:rsidR="008A67D3" w:rsidRDefault="008A6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2A75D" w14:textId="77777777" w:rsidR="001015C2" w:rsidRDefault="001015C2" w:rsidP="00434F71">
      <w:r>
        <w:separator/>
      </w:r>
    </w:p>
  </w:footnote>
  <w:footnote w:type="continuationSeparator" w:id="0">
    <w:p w14:paraId="5FD8B909" w14:textId="77777777" w:rsidR="001015C2" w:rsidRDefault="001015C2" w:rsidP="00434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F05FF" w14:textId="0D3E7A30" w:rsidR="00434F71" w:rsidRPr="00986A1B" w:rsidRDefault="001015C2" w:rsidP="000C0815">
    <w:pPr>
      <w:spacing w:before="87"/>
      <w:jc w:val="center"/>
      <w:rPr>
        <w:b/>
        <w:sz w:val="28"/>
      </w:rPr>
    </w:pPr>
    <w:sdt>
      <w:sdtPr>
        <w:rPr>
          <w:b/>
          <w:sz w:val="24"/>
        </w:rPr>
        <w:id w:val="1640294621"/>
        <w:docPartObj>
          <w:docPartGallery w:val="Watermarks"/>
          <w:docPartUnique/>
        </w:docPartObj>
      </w:sdtPr>
      <w:sdtEndPr/>
      <w:sdtContent>
        <w:r>
          <w:rPr>
            <w:b/>
            <w:noProof/>
            <w:sz w:val="24"/>
          </w:rPr>
          <w:pict w14:anchorId="047148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434F71" w:rsidRPr="00986A1B">
      <w:rPr>
        <w:b/>
        <w:sz w:val="28"/>
      </w:rPr>
      <w:t>Diversity, Equity, and Inclusion Essential Competency</w:t>
    </w:r>
    <w:r w:rsidR="000C0815" w:rsidRPr="00986A1B">
      <w:rPr>
        <w:b/>
        <w:sz w:val="28"/>
      </w:rPr>
      <w:t xml:space="preserve"> </w:t>
    </w:r>
    <w:r w:rsidR="00434F71" w:rsidRPr="00986A1B">
      <w:rPr>
        <w:b/>
        <w:sz w:val="28"/>
      </w:rPr>
      <w:t>Committee Charter</w:t>
    </w:r>
  </w:p>
  <w:p w14:paraId="66CADBA6" w14:textId="77777777" w:rsidR="00434F71" w:rsidRDefault="00434F71" w:rsidP="000C08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733"/>
    <w:multiLevelType w:val="hybridMultilevel"/>
    <w:tmpl w:val="7D604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7C4FEA"/>
    <w:multiLevelType w:val="hybridMultilevel"/>
    <w:tmpl w:val="28E07358"/>
    <w:lvl w:ilvl="0" w:tplc="67EEB49A">
      <w:numFmt w:val="bullet"/>
      <w:lvlText w:val=""/>
      <w:lvlJc w:val="left"/>
      <w:pPr>
        <w:ind w:left="1192" w:hanging="360"/>
      </w:pPr>
      <w:rPr>
        <w:rFonts w:ascii="Symbol" w:eastAsia="Symbol" w:hAnsi="Symbol" w:cs="Symbol" w:hint="default"/>
        <w:w w:val="100"/>
        <w:sz w:val="22"/>
        <w:szCs w:val="22"/>
      </w:rPr>
    </w:lvl>
    <w:lvl w:ilvl="1" w:tplc="EF5886B2">
      <w:numFmt w:val="bullet"/>
      <w:lvlText w:val="•"/>
      <w:lvlJc w:val="left"/>
      <w:pPr>
        <w:ind w:left="2096" w:hanging="360"/>
      </w:pPr>
      <w:rPr>
        <w:rFonts w:hint="default"/>
      </w:rPr>
    </w:lvl>
    <w:lvl w:ilvl="2" w:tplc="DD4E7E3C">
      <w:numFmt w:val="bullet"/>
      <w:lvlText w:val="•"/>
      <w:lvlJc w:val="left"/>
      <w:pPr>
        <w:ind w:left="2992" w:hanging="360"/>
      </w:pPr>
      <w:rPr>
        <w:rFonts w:hint="default"/>
      </w:rPr>
    </w:lvl>
    <w:lvl w:ilvl="3" w:tplc="34843126">
      <w:numFmt w:val="bullet"/>
      <w:lvlText w:val="•"/>
      <w:lvlJc w:val="left"/>
      <w:pPr>
        <w:ind w:left="3888" w:hanging="360"/>
      </w:pPr>
      <w:rPr>
        <w:rFonts w:hint="default"/>
      </w:rPr>
    </w:lvl>
    <w:lvl w:ilvl="4" w:tplc="E9E457F6">
      <w:numFmt w:val="bullet"/>
      <w:lvlText w:val="•"/>
      <w:lvlJc w:val="left"/>
      <w:pPr>
        <w:ind w:left="4784" w:hanging="360"/>
      </w:pPr>
      <w:rPr>
        <w:rFonts w:hint="default"/>
      </w:rPr>
    </w:lvl>
    <w:lvl w:ilvl="5" w:tplc="ED28CA6E">
      <w:numFmt w:val="bullet"/>
      <w:lvlText w:val="•"/>
      <w:lvlJc w:val="left"/>
      <w:pPr>
        <w:ind w:left="5680" w:hanging="360"/>
      </w:pPr>
      <w:rPr>
        <w:rFonts w:hint="default"/>
      </w:rPr>
    </w:lvl>
    <w:lvl w:ilvl="6" w:tplc="5A90D10C">
      <w:numFmt w:val="bullet"/>
      <w:lvlText w:val="•"/>
      <w:lvlJc w:val="left"/>
      <w:pPr>
        <w:ind w:left="6576" w:hanging="360"/>
      </w:pPr>
      <w:rPr>
        <w:rFonts w:hint="default"/>
      </w:rPr>
    </w:lvl>
    <w:lvl w:ilvl="7" w:tplc="5546F3AC">
      <w:numFmt w:val="bullet"/>
      <w:lvlText w:val="•"/>
      <w:lvlJc w:val="left"/>
      <w:pPr>
        <w:ind w:left="7472" w:hanging="360"/>
      </w:pPr>
      <w:rPr>
        <w:rFonts w:hint="default"/>
      </w:rPr>
    </w:lvl>
    <w:lvl w:ilvl="8" w:tplc="94422AF4">
      <w:numFmt w:val="bullet"/>
      <w:lvlText w:val="•"/>
      <w:lvlJc w:val="left"/>
      <w:pPr>
        <w:ind w:left="8368" w:hanging="360"/>
      </w:pPr>
      <w:rPr>
        <w:rFonts w:hint="default"/>
      </w:rPr>
    </w:lvl>
  </w:abstractNum>
  <w:abstractNum w:abstractNumId="2" w15:restartNumberingAfterBreak="0">
    <w:nsid w:val="1DF04455"/>
    <w:multiLevelType w:val="hybridMultilevel"/>
    <w:tmpl w:val="6936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E4BCE"/>
    <w:multiLevelType w:val="hybridMultilevel"/>
    <w:tmpl w:val="B5F28F2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0873E4"/>
    <w:multiLevelType w:val="hybridMultilevel"/>
    <w:tmpl w:val="1E54F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D499A"/>
    <w:multiLevelType w:val="hybridMultilevel"/>
    <w:tmpl w:val="A0428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040854"/>
    <w:multiLevelType w:val="hybridMultilevel"/>
    <w:tmpl w:val="BDC01A16"/>
    <w:lvl w:ilvl="0" w:tplc="DAD265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20792"/>
    <w:multiLevelType w:val="hybridMultilevel"/>
    <w:tmpl w:val="F960591C"/>
    <w:lvl w:ilvl="0" w:tplc="90C4290C">
      <w:start w:val="1"/>
      <w:numFmt w:val="decimal"/>
      <w:lvlText w:val="%1."/>
      <w:lvlJc w:val="left"/>
      <w:pPr>
        <w:ind w:left="420" w:hanging="360"/>
      </w:pPr>
      <w:rPr>
        <w:rFonts w:cstheme="minorBidi"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9D743F1"/>
    <w:multiLevelType w:val="hybridMultilevel"/>
    <w:tmpl w:val="DA08E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C7083C"/>
    <w:multiLevelType w:val="hybridMultilevel"/>
    <w:tmpl w:val="2CA4D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474466"/>
    <w:multiLevelType w:val="hybridMultilevel"/>
    <w:tmpl w:val="7DC2E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D841CE1"/>
    <w:multiLevelType w:val="hybridMultilevel"/>
    <w:tmpl w:val="FBFEF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0"/>
  </w:num>
  <w:num w:numId="6">
    <w:abstractNumId w:val="11"/>
  </w:num>
  <w:num w:numId="7">
    <w:abstractNumId w:val="9"/>
  </w:num>
  <w:num w:numId="8">
    <w:abstractNumId w:val="0"/>
  </w:num>
  <w:num w:numId="9">
    <w:abstractNumId w:val="3"/>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A4"/>
    <w:rsid w:val="000018C3"/>
    <w:rsid w:val="0001005F"/>
    <w:rsid w:val="00077F6A"/>
    <w:rsid w:val="00080EE8"/>
    <w:rsid w:val="000814D2"/>
    <w:rsid w:val="000816A0"/>
    <w:rsid w:val="00084D49"/>
    <w:rsid w:val="00085FAA"/>
    <w:rsid w:val="000949AF"/>
    <w:rsid w:val="000B3F1B"/>
    <w:rsid w:val="000C0815"/>
    <w:rsid w:val="000E0972"/>
    <w:rsid w:val="001015C2"/>
    <w:rsid w:val="001078EE"/>
    <w:rsid w:val="00111213"/>
    <w:rsid w:val="001176DE"/>
    <w:rsid w:val="0016457F"/>
    <w:rsid w:val="001A2573"/>
    <w:rsid w:val="00206EC3"/>
    <w:rsid w:val="00232403"/>
    <w:rsid w:val="0028180C"/>
    <w:rsid w:val="00281E5D"/>
    <w:rsid w:val="003E3E58"/>
    <w:rsid w:val="0040614A"/>
    <w:rsid w:val="00434F71"/>
    <w:rsid w:val="004530DD"/>
    <w:rsid w:val="00467B75"/>
    <w:rsid w:val="00471CBD"/>
    <w:rsid w:val="00487A4D"/>
    <w:rsid w:val="004A4822"/>
    <w:rsid w:val="004C5A9E"/>
    <w:rsid w:val="004E3F87"/>
    <w:rsid w:val="004F4B4D"/>
    <w:rsid w:val="00524BE5"/>
    <w:rsid w:val="00536C20"/>
    <w:rsid w:val="00541BD4"/>
    <w:rsid w:val="00557C4D"/>
    <w:rsid w:val="005640FC"/>
    <w:rsid w:val="00596894"/>
    <w:rsid w:val="005B434E"/>
    <w:rsid w:val="00600EA4"/>
    <w:rsid w:val="00615539"/>
    <w:rsid w:val="006174EA"/>
    <w:rsid w:val="006550E7"/>
    <w:rsid w:val="006578EC"/>
    <w:rsid w:val="006643A2"/>
    <w:rsid w:val="00680C41"/>
    <w:rsid w:val="006868F9"/>
    <w:rsid w:val="00695911"/>
    <w:rsid w:val="00697387"/>
    <w:rsid w:val="006F7425"/>
    <w:rsid w:val="007252A5"/>
    <w:rsid w:val="0074028B"/>
    <w:rsid w:val="00744AA4"/>
    <w:rsid w:val="00774F73"/>
    <w:rsid w:val="007C4429"/>
    <w:rsid w:val="007E4003"/>
    <w:rsid w:val="00805219"/>
    <w:rsid w:val="00834AA8"/>
    <w:rsid w:val="008404C5"/>
    <w:rsid w:val="00852AEE"/>
    <w:rsid w:val="008776C3"/>
    <w:rsid w:val="008A67D3"/>
    <w:rsid w:val="008D6A01"/>
    <w:rsid w:val="008E4FFB"/>
    <w:rsid w:val="00904F10"/>
    <w:rsid w:val="009116AF"/>
    <w:rsid w:val="00931184"/>
    <w:rsid w:val="00940F8C"/>
    <w:rsid w:val="00986A1B"/>
    <w:rsid w:val="00987EA9"/>
    <w:rsid w:val="009953A1"/>
    <w:rsid w:val="009A0BCA"/>
    <w:rsid w:val="009A2107"/>
    <w:rsid w:val="00A33DC6"/>
    <w:rsid w:val="00A64317"/>
    <w:rsid w:val="00A64DDF"/>
    <w:rsid w:val="00A76BAA"/>
    <w:rsid w:val="00A86ECB"/>
    <w:rsid w:val="00AE18A7"/>
    <w:rsid w:val="00AE21CF"/>
    <w:rsid w:val="00B229DE"/>
    <w:rsid w:val="00B40AA8"/>
    <w:rsid w:val="00B86504"/>
    <w:rsid w:val="00C056BF"/>
    <w:rsid w:val="00C35CA4"/>
    <w:rsid w:val="00C630BD"/>
    <w:rsid w:val="00C63F09"/>
    <w:rsid w:val="00C86D8F"/>
    <w:rsid w:val="00C9692F"/>
    <w:rsid w:val="00C96A73"/>
    <w:rsid w:val="00CB3ECB"/>
    <w:rsid w:val="00D03FC4"/>
    <w:rsid w:val="00D07171"/>
    <w:rsid w:val="00D076B5"/>
    <w:rsid w:val="00D62D99"/>
    <w:rsid w:val="00D8580A"/>
    <w:rsid w:val="00D85897"/>
    <w:rsid w:val="00DD3E07"/>
    <w:rsid w:val="00E03C36"/>
    <w:rsid w:val="00E12A43"/>
    <w:rsid w:val="00E132D5"/>
    <w:rsid w:val="00E31B24"/>
    <w:rsid w:val="00E81534"/>
    <w:rsid w:val="00EC5939"/>
    <w:rsid w:val="00F025DC"/>
    <w:rsid w:val="00F20604"/>
    <w:rsid w:val="00F6317F"/>
    <w:rsid w:val="00FC46B6"/>
    <w:rsid w:val="00FE3AD7"/>
    <w:rsid w:val="2C03CEB1"/>
    <w:rsid w:val="35E68C6B"/>
    <w:rsid w:val="58341D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DF9409"/>
  <w15:docId w15:val="{846B1CC7-0BDF-4819-B9B8-22B38648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line="247" w:lineRule="exact"/>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192" w:hanging="360"/>
    </w:pPr>
  </w:style>
  <w:style w:type="paragraph" w:customStyle="1" w:styleId="TableParagraph">
    <w:name w:val="Table Paragraph"/>
    <w:basedOn w:val="Normal"/>
    <w:uiPriority w:val="1"/>
    <w:qFormat/>
    <w:pPr>
      <w:spacing w:before="19" w:line="237" w:lineRule="exact"/>
      <w:ind w:left="110"/>
      <w:jc w:val="center"/>
    </w:pPr>
  </w:style>
  <w:style w:type="character" w:styleId="CommentReference">
    <w:name w:val="annotation reference"/>
    <w:basedOn w:val="DefaultParagraphFont"/>
    <w:uiPriority w:val="99"/>
    <w:semiHidden/>
    <w:unhideWhenUsed/>
    <w:rsid w:val="00AE21CF"/>
    <w:rPr>
      <w:sz w:val="16"/>
      <w:szCs w:val="16"/>
    </w:rPr>
  </w:style>
  <w:style w:type="paragraph" w:styleId="CommentText">
    <w:name w:val="annotation text"/>
    <w:basedOn w:val="Normal"/>
    <w:link w:val="CommentTextChar"/>
    <w:uiPriority w:val="99"/>
    <w:semiHidden/>
    <w:unhideWhenUsed/>
    <w:rsid w:val="00AE21CF"/>
    <w:rPr>
      <w:sz w:val="20"/>
      <w:szCs w:val="20"/>
    </w:rPr>
  </w:style>
  <w:style w:type="character" w:customStyle="1" w:styleId="CommentTextChar">
    <w:name w:val="Comment Text Char"/>
    <w:basedOn w:val="DefaultParagraphFont"/>
    <w:link w:val="CommentText"/>
    <w:uiPriority w:val="99"/>
    <w:semiHidden/>
    <w:rsid w:val="00AE21CF"/>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AE21CF"/>
    <w:rPr>
      <w:b/>
      <w:bCs/>
    </w:rPr>
  </w:style>
  <w:style w:type="character" w:customStyle="1" w:styleId="CommentSubjectChar">
    <w:name w:val="Comment Subject Char"/>
    <w:basedOn w:val="CommentTextChar"/>
    <w:link w:val="CommentSubject"/>
    <w:uiPriority w:val="99"/>
    <w:semiHidden/>
    <w:rsid w:val="00AE21CF"/>
    <w:rPr>
      <w:rFonts w:ascii="Garamond" w:eastAsia="Garamond" w:hAnsi="Garamond" w:cs="Garamond"/>
      <w:b/>
      <w:bCs/>
      <w:sz w:val="20"/>
      <w:szCs w:val="20"/>
    </w:rPr>
  </w:style>
  <w:style w:type="paragraph" w:styleId="BalloonText">
    <w:name w:val="Balloon Text"/>
    <w:basedOn w:val="Normal"/>
    <w:link w:val="BalloonTextChar"/>
    <w:uiPriority w:val="99"/>
    <w:semiHidden/>
    <w:unhideWhenUsed/>
    <w:rsid w:val="00AE2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1CF"/>
    <w:rPr>
      <w:rFonts w:ascii="Segoe UI" w:eastAsia="Garamond" w:hAnsi="Segoe UI" w:cs="Segoe UI"/>
      <w:sz w:val="18"/>
      <w:szCs w:val="18"/>
    </w:rPr>
  </w:style>
  <w:style w:type="paragraph" w:styleId="Header">
    <w:name w:val="header"/>
    <w:basedOn w:val="Normal"/>
    <w:link w:val="HeaderChar"/>
    <w:uiPriority w:val="99"/>
    <w:unhideWhenUsed/>
    <w:rsid w:val="00434F71"/>
    <w:pPr>
      <w:tabs>
        <w:tab w:val="center" w:pos="4680"/>
        <w:tab w:val="right" w:pos="9360"/>
      </w:tabs>
    </w:pPr>
  </w:style>
  <w:style w:type="character" w:customStyle="1" w:styleId="HeaderChar">
    <w:name w:val="Header Char"/>
    <w:basedOn w:val="DefaultParagraphFont"/>
    <w:link w:val="Header"/>
    <w:uiPriority w:val="99"/>
    <w:rsid w:val="00434F71"/>
    <w:rPr>
      <w:rFonts w:ascii="Garamond" w:eastAsia="Garamond" w:hAnsi="Garamond" w:cs="Garamond"/>
    </w:rPr>
  </w:style>
  <w:style w:type="paragraph" w:styleId="Footer">
    <w:name w:val="footer"/>
    <w:basedOn w:val="Normal"/>
    <w:link w:val="FooterChar"/>
    <w:uiPriority w:val="99"/>
    <w:unhideWhenUsed/>
    <w:rsid w:val="00434F71"/>
    <w:pPr>
      <w:tabs>
        <w:tab w:val="center" w:pos="4680"/>
        <w:tab w:val="right" w:pos="9360"/>
      </w:tabs>
    </w:pPr>
  </w:style>
  <w:style w:type="character" w:customStyle="1" w:styleId="FooterChar">
    <w:name w:val="Footer Char"/>
    <w:basedOn w:val="DefaultParagraphFont"/>
    <w:link w:val="Footer"/>
    <w:uiPriority w:val="99"/>
    <w:rsid w:val="00434F71"/>
    <w:rPr>
      <w:rFonts w:ascii="Garamond" w:eastAsia="Garamond" w:hAnsi="Garamond" w:cs="Garamond"/>
    </w:rPr>
  </w:style>
  <w:style w:type="paragraph" w:customStyle="1" w:styleId="paragraph">
    <w:name w:val="paragraph"/>
    <w:basedOn w:val="Normal"/>
    <w:rsid w:val="00E8153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81534"/>
  </w:style>
  <w:style w:type="character" w:customStyle="1" w:styleId="eop">
    <w:name w:val="eop"/>
    <w:basedOn w:val="DefaultParagraphFont"/>
    <w:rsid w:val="00E81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1586</Words>
  <Characters>8075</Characters>
  <Application>Microsoft Office Word</Application>
  <DocSecurity>0</DocSecurity>
  <Lines>112</Lines>
  <Paragraphs>19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djewett</dc:creator>
  <cp:lastModifiedBy>Sanders, Claire</cp:lastModifiedBy>
  <cp:revision>3</cp:revision>
  <dcterms:created xsi:type="dcterms:W3CDTF">2019-11-27T17:22:00Z</dcterms:created>
  <dcterms:modified xsi:type="dcterms:W3CDTF">2019-11-27T17:25:00Z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2004-07-15T00:00:00Z</vt:filetime>
  </property>
  <property fmtid="{D5CDD505-2E9C-101B-9397-08002B2CF9AE}" pid="3" name="Creator">
    <vt:lpwstr>Microsoft Word 9.0</vt:lpwstr>
  </property>
  <property fmtid="{D5CDD505-2E9C-101B-9397-08002B2CF9AE}" pid="4" name="LastSaved">
    <vt:filetime>2019-09-12T00:00:00Z</vt:filetime>
  </property>
</Properties>
</file>