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99E4D" w14:textId="1E19E773" w:rsidR="00AB65DD" w:rsidRDefault="00654CB2" w:rsidP="00AB65DD">
      <w:pPr>
        <w:pStyle w:val="Heading1"/>
        <w:spacing w:before="37"/>
        <w:ind w:right="3278"/>
        <w:jc w:val="center"/>
        <w:rPr>
          <w:rFonts w:ascii="Times New Roman" w:hAnsi="Times New Roman" w:cs="Times New Roman"/>
          <w:spacing w:val="-1"/>
          <w:sz w:val="24"/>
          <w:szCs w:val="24"/>
        </w:rPr>
      </w:pPr>
      <w:r>
        <w:rPr>
          <w:rFonts w:ascii="Times New Roman" w:hAnsi="Times New Roman" w:cs="Times New Roman"/>
          <w:spacing w:val="-1"/>
          <w:sz w:val="24"/>
          <w:szCs w:val="24"/>
        </w:rPr>
        <w:t>TCU</w:t>
      </w:r>
      <w:r w:rsidR="00AB65DD" w:rsidRPr="00EF7B1B">
        <w:rPr>
          <w:rFonts w:ascii="Times New Roman" w:hAnsi="Times New Roman" w:cs="Times New Roman"/>
          <w:spacing w:val="28"/>
          <w:sz w:val="24"/>
          <w:szCs w:val="24"/>
        </w:rPr>
        <w:t xml:space="preserve"> </w:t>
      </w:r>
      <w:r w:rsidR="00AB65DD" w:rsidRPr="00EF7B1B">
        <w:rPr>
          <w:rFonts w:ascii="Times New Roman" w:hAnsi="Times New Roman" w:cs="Times New Roman"/>
          <w:spacing w:val="-1"/>
          <w:sz w:val="24"/>
          <w:szCs w:val="24"/>
        </w:rPr>
        <w:t>FACULTY</w:t>
      </w:r>
      <w:r w:rsidR="00AB65DD" w:rsidRPr="00EF7B1B">
        <w:rPr>
          <w:rFonts w:ascii="Times New Roman" w:hAnsi="Times New Roman" w:cs="Times New Roman"/>
          <w:sz w:val="24"/>
          <w:szCs w:val="24"/>
        </w:rPr>
        <w:t xml:space="preserve"> </w:t>
      </w:r>
      <w:r w:rsidR="00AB65DD" w:rsidRPr="00EF7B1B">
        <w:rPr>
          <w:rFonts w:ascii="Times New Roman" w:hAnsi="Times New Roman" w:cs="Times New Roman"/>
          <w:spacing w:val="-1"/>
          <w:sz w:val="24"/>
          <w:szCs w:val="24"/>
        </w:rPr>
        <w:t>SENATE</w:t>
      </w:r>
    </w:p>
    <w:p w14:paraId="62D0E2B8" w14:textId="29A929A1" w:rsidR="00654CB2" w:rsidRPr="00EF7B1B" w:rsidRDefault="00654CB2" w:rsidP="00AB65DD">
      <w:pPr>
        <w:pStyle w:val="Heading1"/>
        <w:spacing w:before="37"/>
        <w:ind w:right="3278"/>
        <w:jc w:val="center"/>
        <w:rPr>
          <w:rFonts w:ascii="Times New Roman" w:hAnsi="Times New Roman" w:cs="Times New Roman"/>
          <w:b w:val="0"/>
          <w:bCs w:val="0"/>
          <w:sz w:val="24"/>
          <w:szCs w:val="24"/>
        </w:rPr>
      </w:pPr>
      <w:r>
        <w:rPr>
          <w:rFonts w:ascii="Times New Roman" w:hAnsi="Times New Roman" w:cs="Times New Roman"/>
          <w:spacing w:val="-1"/>
          <w:sz w:val="24"/>
          <w:szCs w:val="24"/>
        </w:rPr>
        <w:t>Meeting Agenda</w:t>
      </w:r>
    </w:p>
    <w:p w14:paraId="1AE22162" w14:textId="77777777" w:rsidR="00AB65DD" w:rsidRPr="00EF7B1B" w:rsidRDefault="00AB65DD" w:rsidP="00AB65DD">
      <w:pPr>
        <w:pStyle w:val="BodyText"/>
        <w:spacing w:before="0"/>
        <w:ind w:left="1983" w:hanging="1983"/>
        <w:jc w:val="center"/>
        <w:rPr>
          <w:rFonts w:ascii="Times New Roman" w:hAnsi="Times New Roman" w:cs="Times New Roman"/>
          <w:spacing w:val="-1"/>
          <w:sz w:val="24"/>
          <w:szCs w:val="24"/>
        </w:rPr>
      </w:pPr>
      <w:r w:rsidRPr="00EF7B1B">
        <w:rPr>
          <w:rFonts w:ascii="Times New Roman" w:hAnsi="Times New Roman" w:cs="Times New Roman"/>
          <w:spacing w:val="-1"/>
          <w:sz w:val="24"/>
          <w:szCs w:val="24"/>
        </w:rPr>
        <w:t>THE</w:t>
      </w:r>
      <w:r w:rsidRPr="00EF7B1B">
        <w:rPr>
          <w:rFonts w:ascii="Times New Roman" w:hAnsi="Times New Roman" w:cs="Times New Roman"/>
          <w:sz w:val="24"/>
          <w:szCs w:val="24"/>
        </w:rPr>
        <w:t xml:space="preserve"> </w:t>
      </w:r>
      <w:r w:rsidRPr="00EF7B1B">
        <w:rPr>
          <w:rFonts w:ascii="Times New Roman" w:hAnsi="Times New Roman" w:cs="Times New Roman"/>
          <w:spacing w:val="-1"/>
          <w:sz w:val="24"/>
          <w:szCs w:val="24"/>
        </w:rPr>
        <w:t>CHAMBERS,</w:t>
      </w:r>
      <w:r w:rsidRPr="00EF7B1B">
        <w:rPr>
          <w:rFonts w:ascii="Times New Roman" w:hAnsi="Times New Roman" w:cs="Times New Roman"/>
          <w:sz w:val="24"/>
          <w:szCs w:val="24"/>
        </w:rPr>
        <w:t xml:space="preserve"> </w:t>
      </w:r>
      <w:r w:rsidRPr="00EF7B1B">
        <w:rPr>
          <w:rFonts w:ascii="Times New Roman" w:hAnsi="Times New Roman" w:cs="Times New Roman"/>
          <w:spacing w:val="-1"/>
          <w:sz w:val="24"/>
          <w:szCs w:val="24"/>
        </w:rPr>
        <w:t>BROWN-LUPTON</w:t>
      </w:r>
      <w:r w:rsidRPr="00EF7B1B">
        <w:rPr>
          <w:rFonts w:ascii="Times New Roman" w:hAnsi="Times New Roman" w:cs="Times New Roman"/>
          <w:spacing w:val="-4"/>
          <w:sz w:val="24"/>
          <w:szCs w:val="24"/>
        </w:rPr>
        <w:t xml:space="preserve"> </w:t>
      </w:r>
      <w:r w:rsidRPr="00EF7B1B">
        <w:rPr>
          <w:rFonts w:ascii="Times New Roman" w:hAnsi="Times New Roman" w:cs="Times New Roman"/>
          <w:spacing w:val="-1"/>
          <w:sz w:val="24"/>
          <w:szCs w:val="24"/>
        </w:rPr>
        <w:t>UNIVERSITY</w:t>
      </w:r>
      <w:r w:rsidRPr="00EF7B1B">
        <w:rPr>
          <w:rFonts w:ascii="Times New Roman" w:hAnsi="Times New Roman" w:cs="Times New Roman"/>
          <w:spacing w:val="-2"/>
          <w:sz w:val="24"/>
          <w:szCs w:val="24"/>
        </w:rPr>
        <w:t xml:space="preserve"> </w:t>
      </w:r>
      <w:r w:rsidRPr="00EF7B1B">
        <w:rPr>
          <w:rFonts w:ascii="Times New Roman" w:hAnsi="Times New Roman" w:cs="Times New Roman"/>
          <w:spacing w:val="-1"/>
          <w:sz w:val="24"/>
          <w:szCs w:val="24"/>
        </w:rPr>
        <w:t>UNION</w:t>
      </w:r>
    </w:p>
    <w:p w14:paraId="273AD8CD" w14:textId="22361A5A" w:rsidR="00AB65DD" w:rsidRPr="00EF7B1B" w:rsidRDefault="00654CB2" w:rsidP="00654CB2">
      <w:pPr>
        <w:pStyle w:val="BodyText"/>
        <w:spacing w:before="0"/>
        <w:ind w:left="2844" w:firstLine="177"/>
        <w:rPr>
          <w:rFonts w:ascii="Times New Roman" w:hAnsi="Times New Roman" w:cs="Times New Roman"/>
          <w:sz w:val="24"/>
          <w:szCs w:val="24"/>
        </w:rPr>
      </w:pPr>
      <w:r>
        <w:rPr>
          <w:rFonts w:ascii="Times New Roman" w:hAnsi="Times New Roman" w:cs="Times New Roman"/>
          <w:spacing w:val="-1"/>
          <w:sz w:val="24"/>
          <w:szCs w:val="24"/>
        </w:rPr>
        <w:t xml:space="preserve">          </w:t>
      </w:r>
      <w:r w:rsidR="00AB65DD" w:rsidRPr="00EF7B1B">
        <w:rPr>
          <w:rFonts w:ascii="Times New Roman" w:hAnsi="Times New Roman" w:cs="Times New Roman"/>
          <w:spacing w:val="-1"/>
          <w:sz w:val="24"/>
          <w:szCs w:val="24"/>
        </w:rPr>
        <w:t xml:space="preserve">1 </w:t>
      </w:r>
      <w:r w:rsidR="00AB65DD" w:rsidRPr="00EF7B1B">
        <w:rPr>
          <w:rFonts w:ascii="Times New Roman" w:hAnsi="Times New Roman" w:cs="Times New Roman"/>
          <w:spacing w:val="-1"/>
          <w:sz w:val="24"/>
          <w:szCs w:val="24"/>
        </w:rPr>
        <w:t>December 6, 2018</w:t>
      </w:r>
    </w:p>
    <w:p w14:paraId="179BE872" w14:textId="77777777" w:rsidR="00AB65DD" w:rsidRPr="00EF7B1B" w:rsidRDefault="00AB65DD" w:rsidP="00AB65DD">
      <w:pPr>
        <w:pStyle w:val="BodyText"/>
        <w:spacing w:before="0" w:line="267" w:lineRule="exact"/>
        <w:ind w:left="3021" w:right="3278" w:firstLine="0"/>
        <w:jc w:val="center"/>
        <w:rPr>
          <w:rFonts w:ascii="Times New Roman" w:hAnsi="Times New Roman" w:cs="Times New Roman"/>
          <w:sz w:val="24"/>
          <w:szCs w:val="24"/>
        </w:rPr>
      </w:pPr>
      <w:r w:rsidRPr="00EF7B1B">
        <w:rPr>
          <w:rFonts w:ascii="Times New Roman" w:hAnsi="Times New Roman" w:cs="Times New Roman"/>
          <w:spacing w:val="-1"/>
          <w:sz w:val="24"/>
          <w:szCs w:val="24"/>
        </w:rPr>
        <w:t>3:30-5:00</w:t>
      </w:r>
      <w:r w:rsidRPr="00EF7B1B">
        <w:rPr>
          <w:rFonts w:ascii="Times New Roman" w:hAnsi="Times New Roman" w:cs="Times New Roman"/>
          <w:sz w:val="24"/>
          <w:szCs w:val="24"/>
        </w:rPr>
        <w:t xml:space="preserve"> </w:t>
      </w:r>
      <w:r w:rsidRPr="00EF7B1B">
        <w:rPr>
          <w:rFonts w:ascii="Times New Roman" w:hAnsi="Times New Roman" w:cs="Times New Roman"/>
          <w:spacing w:val="-1"/>
          <w:sz w:val="24"/>
          <w:szCs w:val="24"/>
        </w:rPr>
        <w:t>PM</w:t>
      </w:r>
    </w:p>
    <w:p w14:paraId="62BB1A30" w14:textId="2052BF1C" w:rsidR="005A008B" w:rsidRPr="00EF7B1B" w:rsidRDefault="005A008B" w:rsidP="00AB65DD">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250"/>
      </w:tblGrid>
      <w:tr w:rsidR="00AB65DD" w:rsidRPr="00EF7B1B" w14:paraId="62EA40E3" w14:textId="77777777" w:rsidTr="00AB65DD">
        <w:tc>
          <w:tcPr>
            <w:tcW w:w="4855" w:type="dxa"/>
            <w:vAlign w:val="center"/>
          </w:tcPr>
          <w:p w14:paraId="65C56B98" w14:textId="778A242A"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 xml:space="preserve">Call to Order &amp; welcome guests </w:t>
            </w:r>
          </w:p>
        </w:tc>
        <w:tc>
          <w:tcPr>
            <w:tcW w:w="2250" w:type="dxa"/>
            <w:vAlign w:val="center"/>
          </w:tcPr>
          <w:p w14:paraId="61BD8AC5" w14:textId="77777777"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Greg Stephens</w:t>
            </w:r>
          </w:p>
        </w:tc>
      </w:tr>
      <w:tr w:rsidR="00AB65DD" w:rsidRPr="00EF7B1B" w14:paraId="3C605306" w14:textId="77777777" w:rsidTr="00AB65DD">
        <w:tc>
          <w:tcPr>
            <w:tcW w:w="4855" w:type="dxa"/>
            <w:vAlign w:val="center"/>
          </w:tcPr>
          <w:p w14:paraId="4FC831B6" w14:textId="314ECEF0"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Approval of minutes of November 1, 2018</w:t>
            </w:r>
          </w:p>
        </w:tc>
        <w:tc>
          <w:tcPr>
            <w:tcW w:w="2250" w:type="dxa"/>
            <w:vAlign w:val="center"/>
          </w:tcPr>
          <w:p w14:paraId="4E27E683" w14:textId="3674411B"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Jan Quesada</w:t>
            </w:r>
          </w:p>
        </w:tc>
      </w:tr>
      <w:tr w:rsidR="00AB65DD" w:rsidRPr="00EF7B1B" w14:paraId="6A7392CC" w14:textId="77777777" w:rsidTr="00AB65DD">
        <w:tc>
          <w:tcPr>
            <w:tcW w:w="4855" w:type="dxa"/>
            <w:vAlign w:val="center"/>
          </w:tcPr>
          <w:p w14:paraId="565DDBDA" w14:textId="77777777"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Remarks from Chancellor Boschini and/or Provost Donovan</w:t>
            </w:r>
          </w:p>
        </w:tc>
        <w:tc>
          <w:tcPr>
            <w:tcW w:w="2250" w:type="dxa"/>
            <w:vAlign w:val="center"/>
          </w:tcPr>
          <w:p w14:paraId="69C82FC1" w14:textId="49C4B1AD" w:rsidR="00AB65DD" w:rsidRPr="00EF7B1B" w:rsidRDefault="00AB65DD" w:rsidP="00AB65DD">
            <w:pPr>
              <w:spacing w:before="60" w:after="60"/>
              <w:ind w:left="345"/>
              <w:rPr>
                <w:rFonts w:ascii="Times New Roman" w:hAnsi="Times New Roman" w:cs="Times New Roman"/>
              </w:rPr>
            </w:pPr>
          </w:p>
        </w:tc>
      </w:tr>
      <w:tr w:rsidR="00AB65DD" w:rsidRPr="00EF7B1B" w14:paraId="63BB5EEB" w14:textId="77777777" w:rsidTr="00AB65DD">
        <w:tc>
          <w:tcPr>
            <w:tcW w:w="4855" w:type="dxa"/>
            <w:vAlign w:val="center"/>
          </w:tcPr>
          <w:p w14:paraId="176E3E1F" w14:textId="4A4C7DA0" w:rsidR="00A16E0E" w:rsidRDefault="00A16E0E" w:rsidP="00AB65DD">
            <w:pPr>
              <w:spacing w:before="60" w:after="60"/>
              <w:ind w:left="345"/>
              <w:rPr>
                <w:rFonts w:ascii="Times New Roman" w:hAnsi="Times New Roman" w:cs="Times New Roman"/>
              </w:rPr>
            </w:pPr>
            <w:r>
              <w:rPr>
                <w:rFonts w:ascii="Times New Roman" w:hAnsi="Times New Roman" w:cs="Times New Roman"/>
              </w:rPr>
              <w:t>New business:</w:t>
            </w:r>
            <w:bookmarkStart w:id="0" w:name="_GoBack"/>
            <w:bookmarkEnd w:id="0"/>
          </w:p>
          <w:p w14:paraId="5885FCF9" w14:textId="51D29A17"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IAC Presentation re: testing center proposal</w:t>
            </w:r>
          </w:p>
        </w:tc>
        <w:tc>
          <w:tcPr>
            <w:tcW w:w="2250" w:type="dxa"/>
            <w:vAlign w:val="center"/>
          </w:tcPr>
          <w:p w14:paraId="2746B1CD" w14:textId="24F27D54"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Bob Leone</w:t>
            </w:r>
          </w:p>
        </w:tc>
      </w:tr>
      <w:tr w:rsidR="00AB65DD" w:rsidRPr="00EF7B1B" w14:paraId="5285DC46" w14:textId="77777777" w:rsidTr="00AB65DD">
        <w:tc>
          <w:tcPr>
            <w:tcW w:w="4855" w:type="dxa"/>
            <w:vAlign w:val="center"/>
          </w:tcPr>
          <w:p w14:paraId="6AA28B42" w14:textId="5881A693"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Resolution from FRC on benefits</w:t>
            </w:r>
          </w:p>
        </w:tc>
        <w:tc>
          <w:tcPr>
            <w:tcW w:w="2250" w:type="dxa"/>
            <w:vAlign w:val="center"/>
          </w:tcPr>
          <w:p w14:paraId="78C557A3" w14:textId="05BED52A"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Andrew Ledbetter</w:t>
            </w:r>
          </w:p>
        </w:tc>
      </w:tr>
      <w:tr w:rsidR="00AB65DD" w:rsidRPr="00EF7B1B" w14:paraId="767BB306" w14:textId="77777777" w:rsidTr="00AB65DD">
        <w:tc>
          <w:tcPr>
            <w:tcW w:w="4855" w:type="dxa"/>
            <w:vAlign w:val="center"/>
          </w:tcPr>
          <w:p w14:paraId="2F058019" w14:textId="009FCFA5"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DEI and the Core</w:t>
            </w:r>
          </w:p>
        </w:tc>
        <w:tc>
          <w:tcPr>
            <w:tcW w:w="2250" w:type="dxa"/>
            <w:vAlign w:val="center"/>
          </w:tcPr>
          <w:p w14:paraId="01100CDD" w14:textId="3158F319"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Sean Atkinson, Ariane Balizet &amp; Claire Sanders</w:t>
            </w:r>
          </w:p>
        </w:tc>
      </w:tr>
      <w:tr w:rsidR="00AB65DD" w:rsidRPr="00EF7B1B" w14:paraId="053C4821" w14:textId="77777777" w:rsidTr="00AB65DD">
        <w:tc>
          <w:tcPr>
            <w:tcW w:w="4855" w:type="dxa"/>
            <w:vAlign w:val="center"/>
          </w:tcPr>
          <w:p w14:paraId="354878BB" w14:textId="277F51DE"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FSEC resolution on Senate representation on the Board of Trustees</w:t>
            </w:r>
          </w:p>
        </w:tc>
        <w:tc>
          <w:tcPr>
            <w:tcW w:w="2250" w:type="dxa"/>
            <w:vAlign w:val="center"/>
          </w:tcPr>
          <w:p w14:paraId="384C73F4" w14:textId="11A33A73"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Greg Stephens</w:t>
            </w:r>
          </w:p>
        </w:tc>
      </w:tr>
      <w:tr w:rsidR="00AB65DD" w:rsidRPr="00EF7B1B" w14:paraId="3AF18F4E" w14:textId="77777777" w:rsidTr="00AB65DD">
        <w:tc>
          <w:tcPr>
            <w:tcW w:w="4855" w:type="dxa"/>
            <w:vAlign w:val="center"/>
          </w:tcPr>
          <w:p w14:paraId="42093738" w14:textId="77777777"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Open Discussion</w:t>
            </w:r>
          </w:p>
        </w:tc>
        <w:tc>
          <w:tcPr>
            <w:tcW w:w="2250" w:type="dxa"/>
            <w:vAlign w:val="center"/>
          </w:tcPr>
          <w:p w14:paraId="769826AC" w14:textId="77777777" w:rsidR="00AB65DD" w:rsidRPr="00EF7B1B" w:rsidRDefault="00AB65DD" w:rsidP="00AB65DD">
            <w:pPr>
              <w:spacing w:before="60" w:after="60"/>
              <w:ind w:left="345"/>
              <w:rPr>
                <w:rFonts w:ascii="Times New Roman" w:hAnsi="Times New Roman" w:cs="Times New Roman"/>
              </w:rPr>
            </w:pPr>
          </w:p>
        </w:tc>
      </w:tr>
      <w:tr w:rsidR="00AB65DD" w:rsidRPr="00EF7B1B" w14:paraId="7FD06B12" w14:textId="77777777" w:rsidTr="00AB65DD">
        <w:tc>
          <w:tcPr>
            <w:tcW w:w="4855" w:type="dxa"/>
            <w:vAlign w:val="center"/>
          </w:tcPr>
          <w:p w14:paraId="601384D1" w14:textId="77777777"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Adjournment</w:t>
            </w:r>
          </w:p>
        </w:tc>
        <w:tc>
          <w:tcPr>
            <w:tcW w:w="2250" w:type="dxa"/>
            <w:vAlign w:val="center"/>
          </w:tcPr>
          <w:p w14:paraId="67DB2BD3" w14:textId="77777777" w:rsidR="00AB65DD" w:rsidRPr="00EF7B1B" w:rsidRDefault="00AB65DD" w:rsidP="00AB65DD">
            <w:pPr>
              <w:spacing w:before="60" w:after="60"/>
              <w:ind w:left="345"/>
              <w:rPr>
                <w:rFonts w:ascii="Times New Roman" w:hAnsi="Times New Roman" w:cs="Times New Roman"/>
              </w:rPr>
            </w:pPr>
            <w:r w:rsidRPr="00EF7B1B">
              <w:rPr>
                <w:rFonts w:ascii="Times New Roman" w:hAnsi="Times New Roman" w:cs="Times New Roman"/>
              </w:rPr>
              <w:t>Greg Stephens</w:t>
            </w:r>
          </w:p>
        </w:tc>
      </w:tr>
      <w:tr w:rsidR="00AB65DD" w:rsidRPr="00EF7B1B" w14:paraId="297E0E2F" w14:textId="77777777" w:rsidTr="00AB65DD">
        <w:tc>
          <w:tcPr>
            <w:tcW w:w="4855" w:type="dxa"/>
            <w:vAlign w:val="center"/>
          </w:tcPr>
          <w:p w14:paraId="79A88C1E" w14:textId="24D5D807" w:rsidR="00AB65DD" w:rsidRPr="00EF7B1B" w:rsidRDefault="00AB65DD" w:rsidP="00AB65DD">
            <w:pPr>
              <w:spacing w:before="60" w:after="60"/>
              <w:rPr>
                <w:rFonts w:ascii="Times New Roman" w:hAnsi="Times New Roman" w:cs="Times New Roman"/>
              </w:rPr>
            </w:pPr>
          </w:p>
        </w:tc>
        <w:tc>
          <w:tcPr>
            <w:tcW w:w="2250" w:type="dxa"/>
            <w:vAlign w:val="center"/>
          </w:tcPr>
          <w:p w14:paraId="52146165" w14:textId="77777777" w:rsidR="00AB65DD" w:rsidRPr="00EF7B1B" w:rsidRDefault="00AB65DD" w:rsidP="00482FF2">
            <w:pPr>
              <w:spacing w:before="60" w:after="60"/>
              <w:rPr>
                <w:rFonts w:ascii="Times New Roman" w:hAnsi="Times New Roman" w:cs="Times New Roman"/>
              </w:rPr>
            </w:pPr>
          </w:p>
        </w:tc>
      </w:tr>
    </w:tbl>
    <w:p w14:paraId="420015E4" w14:textId="77777777" w:rsidR="00AB65DD" w:rsidRPr="00EF7B1B" w:rsidRDefault="00AB65DD" w:rsidP="00AB65DD">
      <w:pPr>
        <w:spacing w:before="60" w:after="60"/>
        <w:rPr>
          <w:rFonts w:ascii="Times New Roman" w:hAnsi="Times New Roman" w:cs="Times New Roman"/>
          <w:b/>
        </w:rPr>
      </w:pPr>
    </w:p>
    <w:p w14:paraId="3F413467" w14:textId="1854B15C" w:rsidR="00AB65DD" w:rsidRPr="00EF7B1B" w:rsidRDefault="00AB65DD" w:rsidP="00AB65DD">
      <w:pPr>
        <w:spacing w:before="60" w:after="60"/>
        <w:rPr>
          <w:rFonts w:ascii="Times New Roman" w:hAnsi="Times New Roman" w:cs="Times New Roman"/>
          <w:b/>
        </w:rPr>
      </w:pPr>
      <w:r w:rsidRPr="00EF7B1B">
        <w:rPr>
          <w:rFonts w:ascii="Times New Roman" w:hAnsi="Times New Roman" w:cs="Times New Roman"/>
          <w:b/>
        </w:rPr>
        <w:t xml:space="preserve">Intercollegiate Athletics Committee Resolution on a </w:t>
      </w:r>
      <w:r w:rsidRPr="00EF7B1B">
        <w:rPr>
          <w:rFonts w:ascii="Times New Roman" w:hAnsi="Times New Roman" w:cs="Times New Roman"/>
          <w:b/>
        </w:rPr>
        <w:t xml:space="preserve">Campus-Wide </w:t>
      </w:r>
      <w:r w:rsidRPr="00EF7B1B">
        <w:rPr>
          <w:rFonts w:ascii="Times New Roman" w:hAnsi="Times New Roman" w:cs="Times New Roman"/>
          <w:b/>
        </w:rPr>
        <w:t>Testing Center:</w:t>
      </w:r>
    </w:p>
    <w:p w14:paraId="3C8FB1C4" w14:textId="77777777" w:rsidR="00AB65DD" w:rsidRPr="00EF7B1B" w:rsidRDefault="00AB65DD" w:rsidP="00AB65DD">
      <w:pPr>
        <w:jc w:val="center"/>
        <w:rPr>
          <w:rFonts w:ascii="Times New Roman" w:hAnsi="Times New Roman" w:cs="Times New Roman"/>
        </w:rPr>
      </w:pPr>
      <w:r w:rsidRPr="00EF7B1B">
        <w:rPr>
          <w:rFonts w:ascii="Times New Roman" w:hAnsi="Times New Roman" w:cs="Times New Roman"/>
        </w:rPr>
        <w:t>IAC Resolution on a Campus-wide Testing Center</w:t>
      </w:r>
    </w:p>
    <w:p w14:paraId="6FA38058" w14:textId="77777777" w:rsidR="00AB65DD" w:rsidRPr="00EF7B1B" w:rsidRDefault="00AB65DD" w:rsidP="00AB65DD">
      <w:pPr>
        <w:jc w:val="center"/>
        <w:rPr>
          <w:rFonts w:ascii="Times New Roman" w:hAnsi="Times New Roman" w:cs="Times New Roman"/>
        </w:rPr>
      </w:pPr>
      <w:r w:rsidRPr="00EF7B1B">
        <w:rPr>
          <w:rFonts w:ascii="Times New Roman" w:hAnsi="Times New Roman" w:cs="Times New Roman"/>
        </w:rPr>
        <w:t>November 5, 2018</w:t>
      </w:r>
    </w:p>
    <w:p w14:paraId="62A6E5D1" w14:textId="77777777" w:rsidR="00AB65DD" w:rsidRPr="00EF7B1B" w:rsidRDefault="00AB65DD" w:rsidP="00AB65DD">
      <w:pPr>
        <w:rPr>
          <w:rFonts w:ascii="Times New Roman" w:hAnsi="Times New Roman" w:cs="Times New Roman"/>
        </w:rPr>
      </w:pPr>
    </w:p>
    <w:p w14:paraId="37CB75B7" w14:textId="77777777" w:rsidR="00AB65DD" w:rsidRPr="00EF7B1B" w:rsidRDefault="00AB65DD" w:rsidP="00AB65DD">
      <w:pPr>
        <w:rPr>
          <w:rFonts w:ascii="Times New Roman" w:hAnsi="Times New Roman" w:cs="Times New Roman"/>
        </w:rPr>
      </w:pPr>
      <w:r w:rsidRPr="00EF7B1B">
        <w:rPr>
          <w:rFonts w:ascii="Times New Roman" w:hAnsi="Times New Roman" w:cs="Times New Roman"/>
        </w:rPr>
        <w:t>Whereas the Faculty Senate passed a 2013 resolution calling for the establishment of a campus-wide testing; and</w:t>
      </w:r>
    </w:p>
    <w:p w14:paraId="136FD1D0" w14:textId="77777777" w:rsidR="00AB65DD" w:rsidRPr="00EF7B1B" w:rsidRDefault="00AB65DD" w:rsidP="00AB65DD">
      <w:pPr>
        <w:rPr>
          <w:rFonts w:ascii="Times New Roman" w:hAnsi="Times New Roman" w:cs="Times New Roman"/>
        </w:rPr>
      </w:pPr>
    </w:p>
    <w:p w14:paraId="43D0D45B" w14:textId="77777777" w:rsidR="00AB65DD" w:rsidRPr="00EF7B1B" w:rsidRDefault="00AB65DD" w:rsidP="00AB65DD">
      <w:pPr>
        <w:rPr>
          <w:rFonts w:ascii="Times New Roman" w:hAnsi="Times New Roman" w:cs="Times New Roman"/>
        </w:rPr>
      </w:pPr>
      <w:r w:rsidRPr="00EF7B1B">
        <w:rPr>
          <w:rFonts w:ascii="Times New Roman" w:hAnsi="Times New Roman" w:cs="Times New Roman"/>
        </w:rPr>
        <w:t xml:space="preserve">Whereas the IAC passed its own resolution in November 2016 calling for a campus-wide testing center; and  </w:t>
      </w:r>
    </w:p>
    <w:p w14:paraId="3D6F7EF3" w14:textId="77777777" w:rsidR="00AB65DD" w:rsidRPr="00EF7B1B" w:rsidRDefault="00AB65DD" w:rsidP="00AB65DD">
      <w:pPr>
        <w:rPr>
          <w:rFonts w:ascii="Times New Roman" w:hAnsi="Times New Roman" w:cs="Times New Roman"/>
        </w:rPr>
      </w:pPr>
    </w:p>
    <w:p w14:paraId="79660C96" w14:textId="77777777" w:rsidR="00AB65DD" w:rsidRPr="00EF7B1B" w:rsidRDefault="00AB65DD" w:rsidP="00AB65DD">
      <w:pPr>
        <w:rPr>
          <w:rFonts w:ascii="Times New Roman" w:hAnsi="Times New Roman" w:cs="Times New Roman"/>
        </w:rPr>
      </w:pPr>
      <w:r w:rsidRPr="00EF7B1B">
        <w:rPr>
          <w:rFonts w:ascii="Times New Roman" w:hAnsi="Times New Roman" w:cs="Times New Roman"/>
        </w:rPr>
        <w:t>Whereas the IAC continued to endorse previous resolutions in its February 2017 meeting and called for a memorandum to be circulated in support of these resolutions; and</w:t>
      </w:r>
    </w:p>
    <w:p w14:paraId="5AFDCE4D" w14:textId="77777777" w:rsidR="00AB65DD" w:rsidRPr="00EF7B1B" w:rsidRDefault="00AB65DD" w:rsidP="00AB65DD">
      <w:pPr>
        <w:rPr>
          <w:rFonts w:ascii="Times New Roman" w:hAnsi="Times New Roman" w:cs="Times New Roman"/>
        </w:rPr>
      </w:pPr>
    </w:p>
    <w:p w14:paraId="55E04AE5" w14:textId="77777777" w:rsidR="00AB65DD" w:rsidRPr="00EF7B1B" w:rsidRDefault="00AB65DD" w:rsidP="00AB65DD">
      <w:pPr>
        <w:rPr>
          <w:rFonts w:ascii="Times New Roman" w:hAnsi="Times New Roman" w:cs="Times New Roman"/>
        </w:rPr>
      </w:pPr>
      <w:r w:rsidRPr="00EF7B1B">
        <w:rPr>
          <w:rFonts w:ascii="Times New Roman" w:hAnsi="Times New Roman" w:cs="Times New Roman"/>
        </w:rPr>
        <w:t>Whereas the memorandum was unanimously supported by IAC in February 2017 and then sent to the Provost and Faculty Senate Executive Committee, calling for steps to be taken to discuss a campus-wide testing center; and</w:t>
      </w:r>
    </w:p>
    <w:p w14:paraId="18A614C0" w14:textId="77777777" w:rsidR="00AB65DD" w:rsidRPr="00EF7B1B" w:rsidRDefault="00AB65DD" w:rsidP="00AB65DD">
      <w:pPr>
        <w:rPr>
          <w:rFonts w:ascii="Times New Roman" w:hAnsi="Times New Roman" w:cs="Times New Roman"/>
        </w:rPr>
      </w:pPr>
    </w:p>
    <w:p w14:paraId="3676D042" w14:textId="77777777" w:rsidR="00AB65DD" w:rsidRPr="00EF7B1B" w:rsidRDefault="00AB65DD" w:rsidP="00AB65DD">
      <w:pPr>
        <w:rPr>
          <w:rFonts w:ascii="Times New Roman" w:hAnsi="Times New Roman" w:cs="Times New Roman"/>
        </w:rPr>
      </w:pPr>
      <w:r w:rsidRPr="00EF7B1B">
        <w:rPr>
          <w:rFonts w:ascii="Times New Roman" w:hAnsi="Times New Roman" w:cs="Times New Roman"/>
        </w:rPr>
        <w:t>Whereas no steps were taken, or discussions held;</w:t>
      </w:r>
    </w:p>
    <w:p w14:paraId="07204AE6" w14:textId="77777777" w:rsidR="00AB65DD" w:rsidRPr="00EF7B1B" w:rsidRDefault="00AB65DD" w:rsidP="00AB65DD">
      <w:pPr>
        <w:rPr>
          <w:rFonts w:ascii="Times New Roman" w:hAnsi="Times New Roman" w:cs="Times New Roman"/>
        </w:rPr>
      </w:pPr>
    </w:p>
    <w:p w14:paraId="7CE601A3" w14:textId="77777777" w:rsidR="00AB65DD" w:rsidRPr="00EF7B1B" w:rsidRDefault="00AB65DD" w:rsidP="00AB65DD">
      <w:pPr>
        <w:rPr>
          <w:rFonts w:ascii="Times New Roman" w:hAnsi="Times New Roman" w:cs="Times New Roman"/>
        </w:rPr>
      </w:pPr>
      <w:r w:rsidRPr="00EF7B1B">
        <w:rPr>
          <w:rFonts w:ascii="Times New Roman" w:hAnsi="Times New Roman" w:cs="Times New Roman"/>
        </w:rPr>
        <w:t>The IAC respectfully requests that discussions concerning a campus-wide testing center be given priority during the 2018-2019 academic year and active steps be taken to consider the feasibility a campus-wide testing center; and</w:t>
      </w:r>
    </w:p>
    <w:p w14:paraId="1ED9D13D" w14:textId="77777777" w:rsidR="00AB65DD" w:rsidRPr="00EF7B1B" w:rsidRDefault="00AB65DD" w:rsidP="00AB65DD">
      <w:pPr>
        <w:rPr>
          <w:rFonts w:ascii="Times New Roman" w:hAnsi="Times New Roman" w:cs="Times New Roman"/>
        </w:rPr>
      </w:pPr>
    </w:p>
    <w:p w14:paraId="253CD0ED" w14:textId="77777777" w:rsidR="00AB65DD" w:rsidRPr="00EF7B1B" w:rsidRDefault="00AB65DD" w:rsidP="00AB65DD">
      <w:pPr>
        <w:rPr>
          <w:rFonts w:ascii="Times New Roman" w:hAnsi="Times New Roman" w:cs="Times New Roman"/>
        </w:rPr>
      </w:pPr>
      <w:r w:rsidRPr="00EF7B1B">
        <w:rPr>
          <w:rFonts w:ascii="Times New Roman" w:hAnsi="Times New Roman" w:cs="Times New Roman"/>
        </w:rPr>
        <w:t>further requests that such discussion start by asking the Provost to attend the next IAC meeting and that the IAC also ask to be included on the next Faculty Senate agenda to revisit its 2013 resolution; and</w:t>
      </w:r>
    </w:p>
    <w:p w14:paraId="2927DDAE" w14:textId="77777777" w:rsidR="00AB65DD" w:rsidRPr="00EF7B1B" w:rsidRDefault="00AB65DD" w:rsidP="00AB65DD">
      <w:pPr>
        <w:rPr>
          <w:rFonts w:ascii="Times New Roman" w:hAnsi="Times New Roman" w:cs="Times New Roman"/>
        </w:rPr>
      </w:pPr>
    </w:p>
    <w:p w14:paraId="79701DEB" w14:textId="77777777" w:rsidR="00AB65DD" w:rsidRPr="00EF7B1B" w:rsidRDefault="00AB65DD" w:rsidP="00AB65DD">
      <w:pPr>
        <w:rPr>
          <w:rFonts w:ascii="Times New Roman" w:hAnsi="Times New Roman" w:cs="Times New Roman"/>
        </w:rPr>
      </w:pPr>
      <w:r w:rsidRPr="00EF7B1B">
        <w:rPr>
          <w:rFonts w:ascii="Times New Roman" w:hAnsi="Times New Roman" w:cs="Times New Roman"/>
        </w:rPr>
        <w:t>finally, requests a formal ad hoc campus-wide committee of relevant stakeholders be formed and sanctioned by the Provost to review, discuss, and draft a final resolution concerning the establishment of a campus-wide testing center.</w:t>
      </w:r>
    </w:p>
    <w:p w14:paraId="4FF10142" w14:textId="6A3C4D87" w:rsidR="00AB65DD" w:rsidRPr="00EF7B1B" w:rsidRDefault="00AB65DD" w:rsidP="00AB65DD">
      <w:pPr>
        <w:spacing w:before="60" w:after="60"/>
        <w:rPr>
          <w:rFonts w:ascii="Times New Roman" w:hAnsi="Times New Roman" w:cs="Times New Roman"/>
          <w:b/>
        </w:rPr>
      </w:pPr>
      <w:r w:rsidRPr="00EF7B1B">
        <w:rPr>
          <w:rFonts w:ascii="Times New Roman" w:hAnsi="Times New Roman" w:cs="Times New Roman"/>
          <w:b/>
        </w:rPr>
        <w:t>********************</w:t>
      </w:r>
    </w:p>
    <w:p w14:paraId="515611C0" w14:textId="29AA5662" w:rsidR="00AB65DD" w:rsidRPr="00EF7B1B" w:rsidRDefault="00AB65DD" w:rsidP="00AB65DD">
      <w:pPr>
        <w:rPr>
          <w:rFonts w:ascii="Times New Roman" w:hAnsi="Times New Roman" w:cs="Times New Roman"/>
          <w:b/>
        </w:rPr>
      </w:pPr>
      <w:r w:rsidRPr="00EF7B1B">
        <w:rPr>
          <w:rFonts w:ascii="Times New Roman" w:hAnsi="Times New Roman" w:cs="Times New Roman"/>
          <w:b/>
        </w:rPr>
        <w:t>Resolution on from Faculty Relations Committee on benefits:</w:t>
      </w:r>
    </w:p>
    <w:p w14:paraId="06C0A61A" w14:textId="77777777" w:rsidR="00AB65DD" w:rsidRPr="00EF7B1B" w:rsidRDefault="00AB65DD" w:rsidP="00AB65DD">
      <w:pPr>
        <w:rPr>
          <w:rFonts w:ascii="Times New Roman" w:hAnsi="Times New Roman" w:cs="Times New Roman"/>
          <w:b/>
        </w:rPr>
      </w:pPr>
    </w:p>
    <w:p w14:paraId="7338607A" w14:textId="77777777" w:rsidR="00AB65DD" w:rsidRPr="00EF7B1B" w:rsidRDefault="00AB65DD" w:rsidP="00AB65DD">
      <w:pPr>
        <w:jc w:val="center"/>
        <w:rPr>
          <w:rFonts w:ascii="Times New Roman" w:eastAsia="MS Mincho" w:hAnsi="Times New Roman" w:cs="Times New Roman"/>
        </w:rPr>
      </w:pPr>
      <w:r w:rsidRPr="00EF7B1B">
        <w:rPr>
          <w:rFonts w:ascii="Times New Roman" w:eastAsia="MS Mincho" w:hAnsi="Times New Roman" w:cs="Times New Roman"/>
        </w:rPr>
        <w:t>Resolution on Shared Governance Regarding Employee Benefits</w:t>
      </w:r>
    </w:p>
    <w:p w14:paraId="54DA0B99" w14:textId="77777777" w:rsidR="00AB65DD" w:rsidRPr="00EF7B1B" w:rsidRDefault="00AB65DD" w:rsidP="00AB65DD">
      <w:pPr>
        <w:jc w:val="center"/>
        <w:rPr>
          <w:rFonts w:ascii="Times New Roman" w:eastAsia="MS Mincho" w:hAnsi="Times New Roman" w:cs="Times New Roman"/>
        </w:rPr>
      </w:pPr>
      <w:r w:rsidRPr="00EF7B1B">
        <w:rPr>
          <w:rFonts w:ascii="Times New Roman" w:eastAsia="MS Mincho" w:hAnsi="Times New Roman" w:cs="Times New Roman"/>
        </w:rPr>
        <w:t>Draft, 11/12/18</w:t>
      </w:r>
    </w:p>
    <w:p w14:paraId="4BFBE059" w14:textId="77777777" w:rsidR="00AB65DD" w:rsidRPr="00EF7B1B" w:rsidRDefault="00AB65DD" w:rsidP="00AB65DD">
      <w:pPr>
        <w:rPr>
          <w:rFonts w:ascii="Times New Roman" w:eastAsia="MS Mincho" w:hAnsi="Times New Roman" w:cs="Times New Roman"/>
        </w:rPr>
      </w:pPr>
    </w:p>
    <w:p w14:paraId="18DA822A" w14:textId="77777777" w:rsidR="00AB65DD" w:rsidRPr="00EF7B1B" w:rsidRDefault="00AB65DD" w:rsidP="00AB65DD">
      <w:pPr>
        <w:rPr>
          <w:rFonts w:ascii="Times New Roman" w:eastAsia="MS Mincho" w:hAnsi="Times New Roman" w:cs="Times New Roman"/>
          <w:b/>
        </w:rPr>
      </w:pPr>
      <w:r w:rsidRPr="00EF7B1B">
        <w:rPr>
          <w:rFonts w:ascii="Times New Roman" w:eastAsia="MS Mincho" w:hAnsi="Times New Roman" w:cs="Times New Roman"/>
          <w:b/>
          <w:u w:val="single"/>
        </w:rPr>
        <w:t>Resolution Summary</w:t>
      </w:r>
      <w:r w:rsidRPr="00EF7B1B">
        <w:rPr>
          <w:rFonts w:ascii="Times New Roman" w:eastAsia="MS Mincho" w:hAnsi="Times New Roman" w:cs="Times New Roman"/>
          <w:b/>
        </w:rPr>
        <w:t xml:space="preserve">: This resolution reaffirms the 2013 “Resolution on TCU Employee Benefits,” expresses concern that the Faculty Senate was not consulted regarding the recent reductions in benefits, respectfully asks for a meaningful dialogue to consider the restoration of the PPO90 plan and the domestic partner policy, and, in the spirit of shared governance, calls for the involvement of the Faculty Senate representatives in future decision-making discussions on benefits.  </w:t>
      </w:r>
    </w:p>
    <w:p w14:paraId="11C031D8" w14:textId="77777777" w:rsidR="00AB65DD" w:rsidRPr="00EF7B1B" w:rsidRDefault="00AB65DD" w:rsidP="00AB65DD">
      <w:pPr>
        <w:rPr>
          <w:rFonts w:ascii="Times New Roman" w:eastAsia="MS Mincho" w:hAnsi="Times New Roman" w:cs="Times New Roman"/>
        </w:rPr>
      </w:pPr>
    </w:p>
    <w:p w14:paraId="1544E1DF" w14:textId="77777777" w:rsidR="00AB65DD" w:rsidRPr="00EF7B1B" w:rsidRDefault="00AB65DD" w:rsidP="00AB65DD">
      <w:pPr>
        <w:rPr>
          <w:rFonts w:ascii="Times New Roman" w:eastAsia="MS Mincho" w:hAnsi="Times New Roman" w:cs="Times New Roman"/>
        </w:rPr>
      </w:pPr>
      <w:r w:rsidRPr="00EF7B1B">
        <w:rPr>
          <w:rFonts w:ascii="Times New Roman" w:eastAsia="MS Mincho" w:hAnsi="Times New Roman" w:cs="Times New Roman"/>
        </w:rPr>
        <w:t>Whereas the TCU administration, faculty, and staff have strongly supported a campus culture of connection, collaboration, and cooperation; and</w:t>
      </w:r>
    </w:p>
    <w:p w14:paraId="0E99D68C" w14:textId="77777777" w:rsidR="00AB65DD" w:rsidRPr="00EF7B1B" w:rsidRDefault="00AB65DD" w:rsidP="00AB65DD">
      <w:pPr>
        <w:rPr>
          <w:rFonts w:ascii="Times New Roman" w:eastAsia="MS Mincho" w:hAnsi="Times New Roman" w:cs="Times New Roman"/>
        </w:rPr>
      </w:pPr>
    </w:p>
    <w:p w14:paraId="3EC8649E" w14:textId="77777777" w:rsidR="00AB65DD" w:rsidRPr="00EF7B1B" w:rsidRDefault="00AB65DD" w:rsidP="00AB65DD">
      <w:pPr>
        <w:rPr>
          <w:rFonts w:ascii="Times New Roman" w:eastAsia="MS Mincho" w:hAnsi="Times New Roman" w:cs="Times New Roman"/>
        </w:rPr>
      </w:pPr>
      <w:r w:rsidRPr="00EF7B1B">
        <w:rPr>
          <w:rFonts w:ascii="Times New Roman" w:eastAsia="MS Mincho" w:hAnsi="Times New Roman" w:cs="Times New Roman"/>
        </w:rPr>
        <w:t>Whereas shared governance has been widely endorsed as a part of this campus culture; and</w:t>
      </w:r>
    </w:p>
    <w:p w14:paraId="28C8DE3D" w14:textId="77777777" w:rsidR="00AB65DD" w:rsidRPr="00EF7B1B" w:rsidRDefault="00AB65DD" w:rsidP="00AB65DD">
      <w:pPr>
        <w:rPr>
          <w:rFonts w:ascii="Times New Roman" w:eastAsia="MS Mincho" w:hAnsi="Times New Roman" w:cs="Times New Roman"/>
        </w:rPr>
      </w:pPr>
    </w:p>
    <w:p w14:paraId="3D027FA9" w14:textId="77777777" w:rsidR="00AB65DD" w:rsidRPr="00EF7B1B" w:rsidRDefault="00AB65DD" w:rsidP="00AB65DD">
      <w:pPr>
        <w:rPr>
          <w:rFonts w:ascii="Times New Roman" w:eastAsia="MS Mincho" w:hAnsi="Times New Roman" w:cs="Times New Roman"/>
        </w:rPr>
      </w:pPr>
      <w:r w:rsidRPr="00EF7B1B">
        <w:rPr>
          <w:rFonts w:ascii="Times New Roman" w:eastAsia="MS Mincho" w:hAnsi="Times New Roman" w:cs="Times New Roman"/>
        </w:rPr>
        <w:t>Whereas the TCU Faculty Senate’s “Resolution on TCU Employee Benefits,” adopted by the Senate on May 2, 2013, resolves that employee compensation and benefits should be maintained at current levels or increased, and reduced only in the case of a severe budget crisis that threatens TCU’s well-being; and</w:t>
      </w:r>
    </w:p>
    <w:p w14:paraId="23E84466" w14:textId="77777777" w:rsidR="00AB65DD" w:rsidRPr="00EF7B1B" w:rsidRDefault="00AB65DD" w:rsidP="00AB65DD">
      <w:pPr>
        <w:rPr>
          <w:rFonts w:ascii="Times New Roman" w:eastAsia="MS Mincho" w:hAnsi="Times New Roman" w:cs="Times New Roman"/>
        </w:rPr>
      </w:pPr>
    </w:p>
    <w:p w14:paraId="2094B3E8" w14:textId="77777777" w:rsidR="00AB65DD" w:rsidRPr="00EF7B1B" w:rsidRDefault="00AB65DD" w:rsidP="00AB65DD">
      <w:pPr>
        <w:rPr>
          <w:rFonts w:ascii="Times New Roman" w:eastAsia="MS Mincho" w:hAnsi="Times New Roman" w:cs="Times New Roman"/>
        </w:rPr>
      </w:pPr>
      <w:r w:rsidRPr="00EF7B1B">
        <w:rPr>
          <w:rFonts w:ascii="Times New Roman" w:eastAsia="MS Mincho" w:hAnsi="Times New Roman" w:cs="Times New Roman"/>
        </w:rPr>
        <w:t>Whereas the 2013 resolution states that benefit reductions should occur only after the TCU Faculty Senate has had the opportunity to discuss and make a recommendation concerning proposed reductions and that “designated representatives of the TCU Faculty Senate take part in Cabinet-level discussions” when changes in compensation and benefits are discussed; and</w:t>
      </w:r>
    </w:p>
    <w:p w14:paraId="03C67D43" w14:textId="77777777" w:rsidR="00AB65DD" w:rsidRPr="00EF7B1B" w:rsidRDefault="00AB65DD" w:rsidP="00AB65DD">
      <w:pPr>
        <w:rPr>
          <w:rFonts w:ascii="Times New Roman" w:eastAsia="MS Mincho" w:hAnsi="Times New Roman" w:cs="Times New Roman"/>
        </w:rPr>
      </w:pPr>
    </w:p>
    <w:p w14:paraId="70C02CBB" w14:textId="77777777" w:rsidR="00AB65DD" w:rsidRPr="00EF7B1B" w:rsidRDefault="00AB65DD" w:rsidP="00AB65DD">
      <w:pPr>
        <w:rPr>
          <w:rFonts w:ascii="Times New Roman" w:eastAsia="MS Mincho" w:hAnsi="Times New Roman" w:cs="Times New Roman"/>
        </w:rPr>
      </w:pPr>
      <w:r w:rsidRPr="00EF7B1B">
        <w:rPr>
          <w:rFonts w:ascii="Times New Roman" w:eastAsia="MS Mincho" w:hAnsi="Times New Roman" w:cs="Times New Roman"/>
        </w:rPr>
        <w:t>Whereas the TCU administration has recently—and without consultation—reduced employee benefits by precluding employees from enrolling in the PPO90 health insurance option and ending access to benefits for domestic partners; and</w:t>
      </w:r>
    </w:p>
    <w:p w14:paraId="17810762" w14:textId="77777777" w:rsidR="00AB65DD" w:rsidRPr="00EF7B1B" w:rsidRDefault="00AB65DD" w:rsidP="00AB65DD">
      <w:pPr>
        <w:rPr>
          <w:rFonts w:ascii="Times New Roman" w:eastAsia="MS Mincho" w:hAnsi="Times New Roman" w:cs="Times New Roman"/>
        </w:rPr>
      </w:pPr>
    </w:p>
    <w:p w14:paraId="4C050169" w14:textId="77777777" w:rsidR="00AB65DD" w:rsidRPr="00EF7B1B" w:rsidRDefault="00AB65DD" w:rsidP="00AB65DD">
      <w:pPr>
        <w:rPr>
          <w:rFonts w:ascii="Times New Roman" w:eastAsia="MS Mincho" w:hAnsi="Times New Roman" w:cs="Times New Roman"/>
        </w:rPr>
      </w:pPr>
      <w:r w:rsidRPr="00EF7B1B">
        <w:rPr>
          <w:rFonts w:ascii="Times New Roman" w:eastAsia="MS Mincho" w:hAnsi="Times New Roman" w:cs="Times New Roman"/>
        </w:rPr>
        <w:lastRenderedPageBreak/>
        <w:t>Whereas these reductions in benefits are inconsistent with TCU’s Vision in Action Lead On strategic plan, which calls for strengthening the workforce and emphasizes the importance of diversity, equity, and inclusion,</w:t>
      </w:r>
    </w:p>
    <w:p w14:paraId="7713E591" w14:textId="77777777" w:rsidR="00AB65DD" w:rsidRPr="00EF7B1B" w:rsidRDefault="00AB65DD" w:rsidP="00AB65DD">
      <w:pPr>
        <w:rPr>
          <w:rFonts w:ascii="Times New Roman" w:eastAsia="MS Mincho" w:hAnsi="Times New Roman" w:cs="Times New Roman"/>
        </w:rPr>
      </w:pPr>
    </w:p>
    <w:p w14:paraId="515AF65E" w14:textId="4802EB2F" w:rsidR="00AB65DD" w:rsidRDefault="00AB65DD" w:rsidP="00AB65DD">
      <w:pPr>
        <w:rPr>
          <w:rFonts w:ascii="Times New Roman" w:eastAsia="MS Mincho" w:hAnsi="Times New Roman" w:cs="Times New Roman"/>
        </w:rPr>
      </w:pPr>
      <w:r w:rsidRPr="00EF7B1B">
        <w:rPr>
          <w:rFonts w:ascii="Times New Roman" w:eastAsia="MS Mincho" w:hAnsi="Times New Roman" w:cs="Times New Roman"/>
        </w:rPr>
        <w:t>Therefore, be it resolved that the TCU Faculty Senate (1) expresses its concern that the Faculty Senate was not consulted in the administrative recent decisions to reduce benefits, and therefore, (2) respectfully asks for a meaningful dialogue with the Chancellor, the Cabinet, and the Retirement and Benefit Plan Committee to consider the restoration of full access to the PPO90 plan and the domestic partner policy, and (3) calls for specific procedures to implement a greater level of shared governance by involving Faculty Senate representatives in all future administrative deliberations on benefits.</w:t>
      </w:r>
    </w:p>
    <w:p w14:paraId="330542F1" w14:textId="77777777" w:rsidR="00EF7B1B" w:rsidRPr="00EF7B1B" w:rsidRDefault="00EF7B1B" w:rsidP="00AB65DD">
      <w:pPr>
        <w:rPr>
          <w:rFonts w:ascii="Times New Roman" w:hAnsi="Times New Roman" w:cs="Times New Roman"/>
        </w:rPr>
      </w:pPr>
    </w:p>
    <w:p w14:paraId="0E34A90E" w14:textId="0474BEF9" w:rsidR="00AB65DD" w:rsidRPr="00EF7B1B" w:rsidRDefault="00AB65DD" w:rsidP="00AB65DD">
      <w:pPr>
        <w:rPr>
          <w:rFonts w:ascii="Times New Roman" w:hAnsi="Times New Roman" w:cs="Times New Roman"/>
          <w:b/>
        </w:rPr>
      </w:pPr>
      <w:r w:rsidRPr="00EF7B1B">
        <w:rPr>
          <w:rFonts w:ascii="Times New Roman" w:hAnsi="Times New Roman" w:cs="Times New Roman"/>
          <w:b/>
        </w:rPr>
        <w:t>********************</w:t>
      </w:r>
    </w:p>
    <w:p w14:paraId="6C1D4105" w14:textId="77777777" w:rsidR="00EF7B1B" w:rsidRDefault="00EF7B1B" w:rsidP="00AB65DD">
      <w:pPr>
        <w:rPr>
          <w:rFonts w:ascii="Times New Roman" w:hAnsi="Times New Roman" w:cs="Times New Roman"/>
          <w:b/>
        </w:rPr>
      </w:pPr>
    </w:p>
    <w:p w14:paraId="61C64471" w14:textId="39544C89" w:rsidR="00AB65DD" w:rsidRDefault="00AB65DD" w:rsidP="00AB65DD">
      <w:pPr>
        <w:rPr>
          <w:rFonts w:ascii="Times New Roman" w:hAnsi="Times New Roman" w:cs="Times New Roman"/>
        </w:rPr>
      </w:pPr>
      <w:r w:rsidRPr="00EF7B1B">
        <w:rPr>
          <w:rFonts w:ascii="Times New Roman" w:hAnsi="Times New Roman" w:cs="Times New Roman"/>
          <w:b/>
        </w:rPr>
        <w:t>FSEC Resolution on Senate representation on the TCU Board of Trustees</w:t>
      </w:r>
      <w:r w:rsidRPr="00EF7B1B">
        <w:rPr>
          <w:rFonts w:ascii="Times New Roman" w:hAnsi="Times New Roman" w:cs="Times New Roman"/>
        </w:rPr>
        <w:t>:</w:t>
      </w:r>
    </w:p>
    <w:p w14:paraId="7208F703" w14:textId="77777777" w:rsidR="00EF7B1B" w:rsidRPr="00EF7B1B" w:rsidRDefault="00EF7B1B" w:rsidP="00AB65DD">
      <w:pPr>
        <w:rPr>
          <w:rFonts w:ascii="Times New Roman" w:hAnsi="Times New Roman" w:cs="Times New Roman"/>
        </w:rPr>
      </w:pPr>
    </w:p>
    <w:p w14:paraId="2064B43D" w14:textId="082F2B14" w:rsidR="00AB65DD" w:rsidRPr="00EF7B1B" w:rsidRDefault="00AB65DD" w:rsidP="00EF7B1B">
      <w:pPr>
        <w:spacing w:line="276" w:lineRule="auto"/>
        <w:rPr>
          <w:rStyle w:val="Emphasis"/>
          <w:rFonts w:ascii="Times New Roman" w:hAnsi="Times New Roman" w:cs="Times New Roman"/>
          <w:i w:val="0"/>
        </w:rPr>
      </w:pPr>
      <w:r w:rsidRPr="00EF7B1B">
        <w:rPr>
          <w:rStyle w:val="Emphasis"/>
          <w:rFonts w:ascii="Times New Roman" w:hAnsi="Times New Roman" w:cs="Times New Roman"/>
          <w:i w:val="0"/>
        </w:rPr>
        <w:t xml:space="preserve">An important part of the “TCU Promise” is a campus culture and structure that promotes and expects shared governance through collaboration, discussion, representation, and decision input. To accomplish the above requires input during (not after) the process of decision-making on issues affecting the faculty of the University. We believe that the TCU community strives to honor and uphold a firm institutional commitment to shared governance and a participatory process that encourages such faculty involvement. A natural extension of that outlook would be faculty representation on the Board of Trustees. Therefore, the TCU Faculty Senate endorses such a policy of faculty representation on the TCU Board of Trustees with full participation in discussions and decision-making. </w:t>
      </w:r>
    </w:p>
    <w:p w14:paraId="14946347" w14:textId="1BB15970" w:rsidR="00AB65DD" w:rsidRDefault="00AB65DD" w:rsidP="00AB65DD">
      <w:pPr>
        <w:rPr>
          <w:rStyle w:val="Emphasis"/>
        </w:rPr>
      </w:pPr>
    </w:p>
    <w:p w14:paraId="7DC0CB77" w14:textId="77777777" w:rsidR="00AB65DD" w:rsidRPr="00E317A1" w:rsidRDefault="00AB65DD" w:rsidP="00AB65DD">
      <w:pPr>
        <w:rPr>
          <w:i/>
        </w:rPr>
      </w:pPr>
    </w:p>
    <w:p w14:paraId="0CADD084" w14:textId="77777777" w:rsidR="00AB65DD" w:rsidRPr="00AB65DD" w:rsidRDefault="00AB65DD">
      <w:pPr>
        <w:rPr>
          <w:rFonts w:ascii="Times New Roman" w:hAnsi="Times New Roman" w:cs="Times New Roman"/>
        </w:rPr>
      </w:pPr>
    </w:p>
    <w:p w14:paraId="068AF1C4" w14:textId="2ABEB964" w:rsidR="00ED5287" w:rsidRPr="000F50DD" w:rsidRDefault="00AB65DD" w:rsidP="00A34761">
      <w:pPr>
        <w:rPr>
          <w:rFonts w:ascii="Calibri" w:hAnsi="Calibri"/>
        </w:rPr>
      </w:pPr>
      <w:r>
        <w:rPr>
          <w:rFonts w:ascii="Calibri" w:hAnsi="Calibri"/>
        </w:rPr>
        <w:tab/>
      </w:r>
    </w:p>
    <w:sectPr w:rsidR="00ED5287" w:rsidRPr="000F50DD" w:rsidSect="005A008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EC322" w14:textId="77777777" w:rsidR="003C3F81" w:rsidRDefault="003C3F81" w:rsidP="00D5312D">
      <w:r>
        <w:separator/>
      </w:r>
    </w:p>
  </w:endnote>
  <w:endnote w:type="continuationSeparator" w:id="0">
    <w:p w14:paraId="4C04FAA1" w14:textId="77777777" w:rsidR="003C3F81" w:rsidRDefault="003C3F81" w:rsidP="00D5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EF1B6" w14:textId="77777777" w:rsidR="003C3F81" w:rsidRDefault="003C3F81" w:rsidP="00D5312D">
      <w:r>
        <w:separator/>
      </w:r>
    </w:p>
  </w:footnote>
  <w:footnote w:type="continuationSeparator" w:id="0">
    <w:p w14:paraId="43F5325E" w14:textId="77777777" w:rsidR="003C3F81" w:rsidRDefault="003C3F81" w:rsidP="00D53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11C"/>
    <w:multiLevelType w:val="hybridMultilevel"/>
    <w:tmpl w:val="DF4AC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1228DD"/>
    <w:multiLevelType w:val="hybridMultilevel"/>
    <w:tmpl w:val="9EC0A56C"/>
    <w:lvl w:ilvl="0" w:tplc="7D14F54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4B05A1A"/>
    <w:multiLevelType w:val="hybridMultilevel"/>
    <w:tmpl w:val="633096DC"/>
    <w:lvl w:ilvl="0" w:tplc="F586DC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F1DD2"/>
    <w:multiLevelType w:val="hybridMultilevel"/>
    <w:tmpl w:val="89424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2551F7"/>
    <w:multiLevelType w:val="hybridMultilevel"/>
    <w:tmpl w:val="77348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671CC"/>
    <w:multiLevelType w:val="hybridMultilevel"/>
    <w:tmpl w:val="71741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27ED8"/>
    <w:multiLevelType w:val="hybridMultilevel"/>
    <w:tmpl w:val="0B3A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17EB4"/>
    <w:multiLevelType w:val="hybridMultilevel"/>
    <w:tmpl w:val="351E41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61"/>
    <w:rsid w:val="00006757"/>
    <w:rsid w:val="000251A4"/>
    <w:rsid w:val="00050576"/>
    <w:rsid w:val="00077AD8"/>
    <w:rsid w:val="000B5AB2"/>
    <w:rsid w:val="000F50DD"/>
    <w:rsid w:val="001039D1"/>
    <w:rsid w:val="00135CAC"/>
    <w:rsid w:val="0018057F"/>
    <w:rsid w:val="00186C0C"/>
    <w:rsid w:val="001C1069"/>
    <w:rsid w:val="0021446E"/>
    <w:rsid w:val="00222E09"/>
    <w:rsid w:val="002571EB"/>
    <w:rsid w:val="00265313"/>
    <w:rsid w:val="00286879"/>
    <w:rsid w:val="00292452"/>
    <w:rsid w:val="002B7127"/>
    <w:rsid w:val="002E053A"/>
    <w:rsid w:val="002E4EC0"/>
    <w:rsid w:val="002E57AD"/>
    <w:rsid w:val="00322B5D"/>
    <w:rsid w:val="00351A16"/>
    <w:rsid w:val="00356582"/>
    <w:rsid w:val="00391EFE"/>
    <w:rsid w:val="0039645B"/>
    <w:rsid w:val="003C3F81"/>
    <w:rsid w:val="003D271C"/>
    <w:rsid w:val="003F432D"/>
    <w:rsid w:val="00405837"/>
    <w:rsid w:val="00405874"/>
    <w:rsid w:val="0042102F"/>
    <w:rsid w:val="004309A4"/>
    <w:rsid w:val="00484C04"/>
    <w:rsid w:val="0048561E"/>
    <w:rsid w:val="004A6AEB"/>
    <w:rsid w:val="004D2D98"/>
    <w:rsid w:val="004E3CF5"/>
    <w:rsid w:val="005355D9"/>
    <w:rsid w:val="00543C33"/>
    <w:rsid w:val="00544A63"/>
    <w:rsid w:val="00552285"/>
    <w:rsid w:val="005638B6"/>
    <w:rsid w:val="00575490"/>
    <w:rsid w:val="00594001"/>
    <w:rsid w:val="0059583D"/>
    <w:rsid w:val="005A008B"/>
    <w:rsid w:val="005C1C8D"/>
    <w:rsid w:val="0062598F"/>
    <w:rsid w:val="00632A15"/>
    <w:rsid w:val="006406CF"/>
    <w:rsid w:val="006502A8"/>
    <w:rsid w:val="00654CB2"/>
    <w:rsid w:val="00657C17"/>
    <w:rsid w:val="006816D4"/>
    <w:rsid w:val="006A2757"/>
    <w:rsid w:val="006A4795"/>
    <w:rsid w:val="006B480F"/>
    <w:rsid w:val="006D22A9"/>
    <w:rsid w:val="00700F76"/>
    <w:rsid w:val="007012CB"/>
    <w:rsid w:val="007035E5"/>
    <w:rsid w:val="007065E7"/>
    <w:rsid w:val="00713BA0"/>
    <w:rsid w:val="00730129"/>
    <w:rsid w:val="007325F6"/>
    <w:rsid w:val="00737789"/>
    <w:rsid w:val="00742A58"/>
    <w:rsid w:val="00771FEB"/>
    <w:rsid w:val="007B34F7"/>
    <w:rsid w:val="007E6DF7"/>
    <w:rsid w:val="00800AB5"/>
    <w:rsid w:val="00801741"/>
    <w:rsid w:val="00842318"/>
    <w:rsid w:val="00894D83"/>
    <w:rsid w:val="008A6F0B"/>
    <w:rsid w:val="008B1C5A"/>
    <w:rsid w:val="008C0C9B"/>
    <w:rsid w:val="0090790C"/>
    <w:rsid w:val="00923625"/>
    <w:rsid w:val="00931910"/>
    <w:rsid w:val="00933B08"/>
    <w:rsid w:val="00960607"/>
    <w:rsid w:val="00970AAC"/>
    <w:rsid w:val="00990813"/>
    <w:rsid w:val="009A5BFE"/>
    <w:rsid w:val="009A7FAB"/>
    <w:rsid w:val="009B7778"/>
    <w:rsid w:val="00A0554D"/>
    <w:rsid w:val="00A16E0E"/>
    <w:rsid w:val="00A32811"/>
    <w:rsid w:val="00A34761"/>
    <w:rsid w:val="00A40DFC"/>
    <w:rsid w:val="00A5350F"/>
    <w:rsid w:val="00A65F75"/>
    <w:rsid w:val="00A76D32"/>
    <w:rsid w:val="00A85F49"/>
    <w:rsid w:val="00AA39F3"/>
    <w:rsid w:val="00AA6B15"/>
    <w:rsid w:val="00AB65DD"/>
    <w:rsid w:val="00AC6C9D"/>
    <w:rsid w:val="00AF43E2"/>
    <w:rsid w:val="00B10B5D"/>
    <w:rsid w:val="00B233F9"/>
    <w:rsid w:val="00B256E2"/>
    <w:rsid w:val="00B46111"/>
    <w:rsid w:val="00B55689"/>
    <w:rsid w:val="00B761C6"/>
    <w:rsid w:val="00BB6041"/>
    <w:rsid w:val="00BD5E06"/>
    <w:rsid w:val="00C45FAF"/>
    <w:rsid w:val="00C74B34"/>
    <w:rsid w:val="00C759C5"/>
    <w:rsid w:val="00CF2355"/>
    <w:rsid w:val="00CF4208"/>
    <w:rsid w:val="00CF4ADC"/>
    <w:rsid w:val="00D04973"/>
    <w:rsid w:val="00D10964"/>
    <w:rsid w:val="00D30D77"/>
    <w:rsid w:val="00D31437"/>
    <w:rsid w:val="00D527BC"/>
    <w:rsid w:val="00D5312D"/>
    <w:rsid w:val="00D55CF2"/>
    <w:rsid w:val="00D9031E"/>
    <w:rsid w:val="00DA1153"/>
    <w:rsid w:val="00DC764F"/>
    <w:rsid w:val="00DE2095"/>
    <w:rsid w:val="00E21A1B"/>
    <w:rsid w:val="00E4759D"/>
    <w:rsid w:val="00E51568"/>
    <w:rsid w:val="00ED36CE"/>
    <w:rsid w:val="00ED5287"/>
    <w:rsid w:val="00EF7B1B"/>
    <w:rsid w:val="00F205DD"/>
    <w:rsid w:val="00F23D24"/>
    <w:rsid w:val="00F90755"/>
    <w:rsid w:val="00F91C45"/>
    <w:rsid w:val="00F96672"/>
    <w:rsid w:val="00FA2AF0"/>
    <w:rsid w:val="00FA747A"/>
    <w:rsid w:val="00FF0C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C46938"/>
  <w15:docId w15:val="{B3E14F6D-4436-42F7-B987-C8F44B97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AB65DD"/>
    <w:pPr>
      <w:widowControl w:val="0"/>
      <w:ind w:left="3021"/>
      <w:outlineLvl w:val="0"/>
    </w:pPr>
    <w:rPr>
      <w:rFonts w:ascii="Calibri" w:eastAsia="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61"/>
    <w:pPr>
      <w:ind w:left="720"/>
      <w:contextualSpacing/>
    </w:pPr>
  </w:style>
  <w:style w:type="character" w:customStyle="1" w:styleId="newsbody">
    <w:name w:val="news_body"/>
    <w:basedOn w:val="DefaultParagraphFont"/>
    <w:rsid w:val="003F432D"/>
  </w:style>
  <w:style w:type="paragraph" w:styleId="EndnoteText">
    <w:name w:val="endnote text"/>
    <w:basedOn w:val="Normal"/>
    <w:link w:val="EndnoteTextChar"/>
    <w:uiPriority w:val="99"/>
    <w:semiHidden/>
    <w:unhideWhenUsed/>
    <w:rsid w:val="00D5312D"/>
    <w:rPr>
      <w:sz w:val="20"/>
      <w:szCs w:val="20"/>
    </w:rPr>
  </w:style>
  <w:style w:type="character" w:customStyle="1" w:styleId="EndnoteTextChar">
    <w:name w:val="Endnote Text Char"/>
    <w:basedOn w:val="DefaultParagraphFont"/>
    <w:link w:val="EndnoteText"/>
    <w:uiPriority w:val="99"/>
    <w:semiHidden/>
    <w:rsid w:val="00D5312D"/>
  </w:style>
  <w:style w:type="character" w:styleId="EndnoteReference">
    <w:name w:val="endnote reference"/>
    <w:basedOn w:val="DefaultParagraphFont"/>
    <w:uiPriority w:val="99"/>
    <w:semiHidden/>
    <w:unhideWhenUsed/>
    <w:rsid w:val="00D5312D"/>
    <w:rPr>
      <w:vertAlign w:val="superscript"/>
    </w:rPr>
  </w:style>
  <w:style w:type="paragraph" w:styleId="PlainText">
    <w:name w:val="Plain Text"/>
    <w:basedOn w:val="Normal"/>
    <w:link w:val="PlainTextChar"/>
    <w:uiPriority w:val="99"/>
    <w:semiHidden/>
    <w:unhideWhenUsed/>
    <w:rsid w:val="00D5312D"/>
    <w:rPr>
      <w:rFonts w:ascii="Calibri" w:hAnsi="Calibri" w:cs="Times New Roman"/>
      <w:sz w:val="22"/>
      <w:szCs w:val="21"/>
      <w:lang w:eastAsia="en-US"/>
    </w:rPr>
  </w:style>
  <w:style w:type="character" w:customStyle="1" w:styleId="PlainTextChar">
    <w:name w:val="Plain Text Char"/>
    <w:basedOn w:val="DefaultParagraphFont"/>
    <w:link w:val="PlainText"/>
    <w:uiPriority w:val="99"/>
    <w:semiHidden/>
    <w:rsid w:val="00D5312D"/>
    <w:rPr>
      <w:rFonts w:ascii="Calibri" w:hAnsi="Calibri" w:cs="Times New Roman"/>
      <w:sz w:val="22"/>
      <w:szCs w:val="21"/>
      <w:lang w:eastAsia="en-US"/>
    </w:rPr>
  </w:style>
  <w:style w:type="table" w:styleId="TableGrid">
    <w:name w:val="Table Grid"/>
    <w:basedOn w:val="TableNormal"/>
    <w:uiPriority w:val="39"/>
    <w:rsid w:val="00A0554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FE"/>
    <w:rPr>
      <w:rFonts w:ascii="Segoe UI" w:hAnsi="Segoe UI" w:cs="Segoe UI"/>
      <w:sz w:val="18"/>
      <w:szCs w:val="18"/>
    </w:rPr>
  </w:style>
  <w:style w:type="character" w:customStyle="1" w:styleId="Heading1Char">
    <w:name w:val="Heading 1 Char"/>
    <w:basedOn w:val="DefaultParagraphFont"/>
    <w:link w:val="Heading1"/>
    <w:uiPriority w:val="1"/>
    <w:rsid w:val="00AB65DD"/>
    <w:rPr>
      <w:rFonts w:ascii="Calibri" w:eastAsia="Calibri" w:hAnsi="Calibri"/>
      <w:b/>
      <w:bCs/>
      <w:sz w:val="22"/>
      <w:szCs w:val="22"/>
      <w:lang w:eastAsia="en-US"/>
    </w:rPr>
  </w:style>
  <w:style w:type="paragraph" w:styleId="BodyText">
    <w:name w:val="Body Text"/>
    <w:basedOn w:val="Normal"/>
    <w:link w:val="BodyTextChar"/>
    <w:uiPriority w:val="1"/>
    <w:qFormat/>
    <w:rsid w:val="00AB65DD"/>
    <w:pPr>
      <w:widowControl w:val="0"/>
      <w:spacing w:before="134"/>
      <w:ind w:left="800" w:hanging="360"/>
    </w:pPr>
    <w:rPr>
      <w:rFonts w:ascii="Calibri" w:eastAsia="Calibri" w:hAnsi="Calibri"/>
      <w:sz w:val="22"/>
      <w:szCs w:val="22"/>
      <w:lang w:eastAsia="en-US"/>
    </w:rPr>
  </w:style>
  <w:style w:type="character" w:customStyle="1" w:styleId="BodyTextChar">
    <w:name w:val="Body Text Char"/>
    <w:basedOn w:val="DefaultParagraphFont"/>
    <w:link w:val="BodyText"/>
    <w:uiPriority w:val="1"/>
    <w:rsid w:val="00AB65DD"/>
    <w:rPr>
      <w:rFonts w:ascii="Calibri" w:eastAsia="Calibri" w:hAnsi="Calibri"/>
      <w:sz w:val="22"/>
      <w:szCs w:val="22"/>
      <w:lang w:eastAsia="en-US"/>
    </w:rPr>
  </w:style>
  <w:style w:type="paragraph" w:styleId="NormalWeb">
    <w:name w:val="Normal (Web)"/>
    <w:basedOn w:val="Normal"/>
    <w:uiPriority w:val="99"/>
    <w:unhideWhenUsed/>
    <w:rsid w:val="00AB65DD"/>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AB65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359">
      <w:bodyDiv w:val="1"/>
      <w:marLeft w:val="0"/>
      <w:marRight w:val="0"/>
      <w:marTop w:val="0"/>
      <w:marBottom w:val="0"/>
      <w:divBdr>
        <w:top w:val="none" w:sz="0" w:space="0" w:color="auto"/>
        <w:left w:val="none" w:sz="0" w:space="0" w:color="auto"/>
        <w:bottom w:val="none" w:sz="0" w:space="0" w:color="auto"/>
        <w:right w:val="none" w:sz="0" w:space="0" w:color="auto"/>
      </w:divBdr>
    </w:div>
    <w:div w:id="416562454">
      <w:bodyDiv w:val="1"/>
      <w:marLeft w:val="0"/>
      <w:marRight w:val="0"/>
      <w:marTop w:val="0"/>
      <w:marBottom w:val="0"/>
      <w:divBdr>
        <w:top w:val="none" w:sz="0" w:space="0" w:color="auto"/>
        <w:left w:val="none" w:sz="0" w:space="0" w:color="auto"/>
        <w:bottom w:val="none" w:sz="0" w:space="0" w:color="auto"/>
        <w:right w:val="none" w:sz="0" w:space="0" w:color="auto"/>
      </w:divBdr>
    </w:div>
    <w:div w:id="557518441">
      <w:bodyDiv w:val="1"/>
      <w:marLeft w:val="0"/>
      <w:marRight w:val="0"/>
      <w:marTop w:val="0"/>
      <w:marBottom w:val="0"/>
      <w:divBdr>
        <w:top w:val="none" w:sz="0" w:space="0" w:color="auto"/>
        <w:left w:val="none" w:sz="0" w:space="0" w:color="auto"/>
        <w:bottom w:val="none" w:sz="0" w:space="0" w:color="auto"/>
        <w:right w:val="none" w:sz="0" w:space="0" w:color="auto"/>
      </w:divBdr>
    </w:div>
    <w:div w:id="587349474">
      <w:bodyDiv w:val="1"/>
      <w:marLeft w:val="0"/>
      <w:marRight w:val="0"/>
      <w:marTop w:val="0"/>
      <w:marBottom w:val="0"/>
      <w:divBdr>
        <w:top w:val="none" w:sz="0" w:space="0" w:color="auto"/>
        <w:left w:val="none" w:sz="0" w:space="0" w:color="auto"/>
        <w:bottom w:val="none" w:sz="0" w:space="0" w:color="auto"/>
        <w:right w:val="none" w:sz="0" w:space="0" w:color="auto"/>
      </w:divBdr>
    </w:div>
    <w:div w:id="598098345">
      <w:bodyDiv w:val="1"/>
      <w:marLeft w:val="0"/>
      <w:marRight w:val="0"/>
      <w:marTop w:val="0"/>
      <w:marBottom w:val="0"/>
      <w:divBdr>
        <w:top w:val="none" w:sz="0" w:space="0" w:color="auto"/>
        <w:left w:val="none" w:sz="0" w:space="0" w:color="auto"/>
        <w:bottom w:val="none" w:sz="0" w:space="0" w:color="auto"/>
        <w:right w:val="none" w:sz="0" w:space="0" w:color="auto"/>
      </w:divBdr>
    </w:div>
    <w:div w:id="630600134">
      <w:bodyDiv w:val="1"/>
      <w:marLeft w:val="0"/>
      <w:marRight w:val="0"/>
      <w:marTop w:val="0"/>
      <w:marBottom w:val="0"/>
      <w:divBdr>
        <w:top w:val="none" w:sz="0" w:space="0" w:color="auto"/>
        <w:left w:val="none" w:sz="0" w:space="0" w:color="auto"/>
        <w:bottom w:val="none" w:sz="0" w:space="0" w:color="auto"/>
        <w:right w:val="none" w:sz="0" w:space="0" w:color="auto"/>
      </w:divBdr>
    </w:div>
    <w:div w:id="773134290">
      <w:bodyDiv w:val="1"/>
      <w:marLeft w:val="0"/>
      <w:marRight w:val="0"/>
      <w:marTop w:val="0"/>
      <w:marBottom w:val="0"/>
      <w:divBdr>
        <w:top w:val="none" w:sz="0" w:space="0" w:color="auto"/>
        <w:left w:val="none" w:sz="0" w:space="0" w:color="auto"/>
        <w:bottom w:val="none" w:sz="0" w:space="0" w:color="auto"/>
        <w:right w:val="none" w:sz="0" w:space="0" w:color="auto"/>
      </w:divBdr>
      <w:divsChild>
        <w:div w:id="157498764">
          <w:marLeft w:val="0"/>
          <w:marRight w:val="0"/>
          <w:marTop w:val="0"/>
          <w:marBottom w:val="0"/>
          <w:divBdr>
            <w:top w:val="none" w:sz="0" w:space="0" w:color="auto"/>
            <w:left w:val="none" w:sz="0" w:space="0" w:color="auto"/>
            <w:bottom w:val="none" w:sz="0" w:space="0" w:color="auto"/>
            <w:right w:val="none" w:sz="0" w:space="0" w:color="auto"/>
          </w:divBdr>
        </w:div>
        <w:div w:id="1103525821">
          <w:marLeft w:val="0"/>
          <w:marRight w:val="0"/>
          <w:marTop w:val="0"/>
          <w:marBottom w:val="0"/>
          <w:divBdr>
            <w:top w:val="none" w:sz="0" w:space="0" w:color="auto"/>
            <w:left w:val="none" w:sz="0" w:space="0" w:color="auto"/>
            <w:bottom w:val="none" w:sz="0" w:space="0" w:color="auto"/>
            <w:right w:val="none" w:sz="0" w:space="0" w:color="auto"/>
          </w:divBdr>
        </w:div>
        <w:div w:id="647175064">
          <w:marLeft w:val="0"/>
          <w:marRight w:val="0"/>
          <w:marTop w:val="0"/>
          <w:marBottom w:val="0"/>
          <w:divBdr>
            <w:top w:val="none" w:sz="0" w:space="0" w:color="auto"/>
            <w:left w:val="none" w:sz="0" w:space="0" w:color="auto"/>
            <w:bottom w:val="none" w:sz="0" w:space="0" w:color="auto"/>
            <w:right w:val="none" w:sz="0" w:space="0" w:color="auto"/>
          </w:divBdr>
        </w:div>
      </w:divsChild>
    </w:div>
    <w:div w:id="916937155">
      <w:bodyDiv w:val="1"/>
      <w:marLeft w:val="0"/>
      <w:marRight w:val="0"/>
      <w:marTop w:val="0"/>
      <w:marBottom w:val="0"/>
      <w:divBdr>
        <w:top w:val="none" w:sz="0" w:space="0" w:color="auto"/>
        <w:left w:val="none" w:sz="0" w:space="0" w:color="auto"/>
        <w:bottom w:val="none" w:sz="0" w:space="0" w:color="auto"/>
        <w:right w:val="none" w:sz="0" w:space="0" w:color="auto"/>
      </w:divBdr>
    </w:div>
    <w:div w:id="973172975">
      <w:bodyDiv w:val="1"/>
      <w:marLeft w:val="0"/>
      <w:marRight w:val="0"/>
      <w:marTop w:val="0"/>
      <w:marBottom w:val="0"/>
      <w:divBdr>
        <w:top w:val="none" w:sz="0" w:space="0" w:color="auto"/>
        <w:left w:val="none" w:sz="0" w:space="0" w:color="auto"/>
        <w:bottom w:val="none" w:sz="0" w:space="0" w:color="auto"/>
        <w:right w:val="none" w:sz="0" w:space="0" w:color="auto"/>
      </w:divBdr>
    </w:div>
    <w:div w:id="1301494198">
      <w:bodyDiv w:val="1"/>
      <w:marLeft w:val="0"/>
      <w:marRight w:val="0"/>
      <w:marTop w:val="0"/>
      <w:marBottom w:val="0"/>
      <w:divBdr>
        <w:top w:val="none" w:sz="0" w:space="0" w:color="auto"/>
        <w:left w:val="none" w:sz="0" w:space="0" w:color="auto"/>
        <w:bottom w:val="none" w:sz="0" w:space="0" w:color="auto"/>
        <w:right w:val="none" w:sz="0" w:space="0" w:color="auto"/>
      </w:divBdr>
    </w:div>
    <w:div w:id="1543639384">
      <w:bodyDiv w:val="1"/>
      <w:marLeft w:val="0"/>
      <w:marRight w:val="0"/>
      <w:marTop w:val="0"/>
      <w:marBottom w:val="0"/>
      <w:divBdr>
        <w:top w:val="none" w:sz="0" w:space="0" w:color="auto"/>
        <w:left w:val="none" w:sz="0" w:space="0" w:color="auto"/>
        <w:bottom w:val="none" w:sz="0" w:space="0" w:color="auto"/>
        <w:right w:val="none" w:sz="0" w:space="0" w:color="auto"/>
      </w:divBdr>
    </w:div>
    <w:div w:id="1857112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347C3-08A3-4A80-BFBA-CA5D58B8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TCU User</dc:creator>
  <cp:lastModifiedBy>Quesada, Janis</cp:lastModifiedBy>
  <cp:revision>6</cp:revision>
  <cp:lastPrinted>2018-12-03T22:05:00Z</cp:lastPrinted>
  <dcterms:created xsi:type="dcterms:W3CDTF">2018-12-03T21:51:00Z</dcterms:created>
  <dcterms:modified xsi:type="dcterms:W3CDTF">2018-12-03T22:07:00Z</dcterms:modified>
</cp:coreProperties>
</file>