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0B7C" w14:textId="77777777" w:rsidR="007155CC" w:rsidRPr="00695741" w:rsidRDefault="007155CC" w:rsidP="007155CC">
      <w:pPr>
        <w:rPr>
          <w:rFonts w:cstheme="minorHAnsi"/>
          <w:b/>
          <w:u w:val="thick"/>
        </w:rPr>
      </w:pPr>
      <w:r w:rsidRPr="00695741">
        <w:rPr>
          <w:rFonts w:cstheme="minorHAnsi"/>
          <w:b/>
          <w:u w:val="thick"/>
        </w:rPr>
        <w:t>TCU Policy for the Religious Observances and Holidays</w:t>
      </w:r>
    </w:p>
    <w:p w14:paraId="45E97AC6" w14:textId="77777777" w:rsidR="007155CC" w:rsidRPr="00695741" w:rsidRDefault="007155CC" w:rsidP="007155CC">
      <w:pPr>
        <w:pStyle w:val="Heading1"/>
        <w:spacing w:before="91"/>
        <w:rPr>
          <w:rFonts w:asciiTheme="minorHAnsi" w:hAnsiTheme="minorHAnsi" w:cstheme="minorHAnsi"/>
          <w:sz w:val="22"/>
          <w:szCs w:val="22"/>
        </w:rPr>
      </w:pPr>
      <w:r w:rsidRPr="00695741">
        <w:rPr>
          <w:rFonts w:asciiTheme="minorHAnsi" w:hAnsiTheme="minorHAnsi" w:cstheme="minorHAnsi"/>
          <w:sz w:val="22"/>
          <w:szCs w:val="22"/>
        </w:rPr>
        <w:t>Policy</w:t>
      </w:r>
    </w:p>
    <w:p w14:paraId="2917D8F8" w14:textId="77777777" w:rsidR="007155CC" w:rsidRPr="00695741" w:rsidRDefault="007155CC" w:rsidP="007155CC">
      <w:pPr>
        <w:pStyle w:val="BodyText"/>
        <w:spacing w:before="2"/>
        <w:rPr>
          <w:rFonts w:asciiTheme="minorHAnsi" w:hAnsiTheme="minorHAnsi" w:cstheme="minorHAnsi"/>
          <w:b/>
          <w:sz w:val="22"/>
          <w:szCs w:val="22"/>
        </w:rPr>
      </w:pPr>
    </w:p>
    <w:p w14:paraId="12EB702C" w14:textId="77777777" w:rsidR="007155CC" w:rsidRPr="00695741" w:rsidRDefault="007155CC" w:rsidP="007155CC">
      <w:pPr>
        <w:spacing w:before="91"/>
        <w:ind w:right="158" w:hanging="1"/>
        <w:rPr>
          <w:rFonts w:cstheme="minorHAnsi"/>
          <w:i/>
        </w:rPr>
      </w:pPr>
      <w:r w:rsidRPr="00695741">
        <w:rPr>
          <w:rFonts w:cstheme="minorHAnsi"/>
          <w:i/>
        </w:rPr>
        <w:t>“Students who are unable to participate in a class, in any related assignment or in a university required activity because of the religious observance of a holy day shall be provided with a reasonable opportunity to make up the examination or assignment, without penalty, provided that it does not create an unreasonable burden on the University.”</w:t>
      </w:r>
    </w:p>
    <w:p w14:paraId="6D3B05CC" w14:textId="77777777" w:rsidR="007155CC" w:rsidRPr="00695741" w:rsidRDefault="007155CC" w:rsidP="007155CC">
      <w:pPr>
        <w:pStyle w:val="Heading1"/>
        <w:rPr>
          <w:rFonts w:asciiTheme="minorHAnsi" w:hAnsiTheme="minorHAnsi" w:cstheme="minorHAnsi"/>
          <w:sz w:val="22"/>
          <w:szCs w:val="22"/>
        </w:rPr>
      </w:pPr>
      <w:r w:rsidRPr="00695741">
        <w:rPr>
          <w:rFonts w:asciiTheme="minorHAnsi" w:hAnsiTheme="minorHAnsi" w:cstheme="minorHAnsi"/>
          <w:sz w:val="22"/>
          <w:szCs w:val="22"/>
        </w:rPr>
        <w:t>Guidelines for Implementation</w:t>
      </w:r>
    </w:p>
    <w:p w14:paraId="0C5A5DB2" w14:textId="77777777" w:rsidR="007155CC" w:rsidRPr="00695741" w:rsidRDefault="007155CC" w:rsidP="007155CC">
      <w:pPr>
        <w:pStyle w:val="BodyText"/>
        <w:spacing w:before="3"/>
        <w:rPr>
          <w:rFonts w:asciiTheme="minorHAnsi" w:hAnsiTheme="minorHAnsi" w:cstheme="minorHAnsi"/>
          <w:b/>
          <w:sz w:val="22"/>
          <w:szCs w:val="22"/>
        </w:rPr>
      </w:pPr>
    </w:p>
    <w:p w14:paraId="01C92F70" w14:textId="77777777" w:rsidR="007155CC" w:rsidRPr="00695741" w:rsidRDefault="007155CC" w:rsidP="007155CC">
      <w:pPr>
        <w:pStyle w:val="ListParagraph"/>
        <w:numPr>
          <w:ilvl w:val="0"/>
          <w:numId w:val="3"/>
        </w:numPr>
        <w:tabs>
          <w:tab w:val="left" w:pos="839"/>
          <w:tab w:val="left" w:pos="840"/>
        </w:tabs>
        <w:spacing w:line="237" w:lineRule="auto"/>
        <w:ind w:left="360" w:right="481"/>
        <w:rPr>
          <w:rFonts w:asciiTheme="minorHAnsi" w:hAnsiTheme="minorHAnsi" w:cstheme="minorHAnsi"/>
        </w:rPr>
      </w:pPr>
      <w:r w:rsidRPr="00695741">
        <w:rPr>
          <w:rFonts w:asciiTheme="minorHAnsi" w:hAnsiTheme="minorHAnsi" w:cstheme="minorHAnsi"/>
        </w:rPr>
        <w:t>That students notify faculty or staff the first two weeks of the semester of their intention to be absent from class or the required event on their day(s) of religious</w:t>
      </w:r>
      <w:r w:rsidRPr="00695741">
        <w:rPr>
          <w:rFonts w:asciiTheme="minorHAnsi" w:hAnsiTheme="minorHAnsi" w:cstheme="minorHAnsi"/>
          <w:spacing w:val="-7"/>
        </w:rPr>
        <w:t xml:space="preserve"> </w:t>
      </w:r>
      <w:r w:rsidRPr="00695741">
        <w:rPr>
          <w:rFonts w:asciiTheme="minorHAnsi" w:hAnsiTheme="minorHAnsi" w:cstheme="minorHAnsi"/>
        </w:rPr>
        <w:t>observance;</w:t>
      </w:r>
    </w:p>
    <w:p w14:paraId="1E2D90E4" w14:textId="77777777" w:rsidR="007155CC" w:rsidRPr="00695741" w:rsidRDefault="007155CC" w:rsidP="007155CC">
      <w:pPr>
        <w:pStyle w:val="BodyText"/>
        <w:spacing w:before="1"/>
        <w:ind w:left="360"/>
        <w:rPr>
          <w:rFonts w:asciiTheme="minorHAnsi" w:hAnsiTheme="minorHAnsi" w:cstheme="minorHAnsi"/>
          <w:sz w:val="22"/>
          <w:szCs w:val="22"/>
        </w:rPr>
      </w:pPr>
    </w:p>
    <w:p w14:paraId="551C2CF5" w14:textId="77777777" w:rsidR="007155CC" w:rsidRPr="00695741" w:rsidRDefault="007155CC" w:rsidP="007155CC">
      <w:pPr>
        <w:pStyle w:val="ListParagraph"/>
        <w:numPr>
          <w:ilvl w:val="0"/>
          <w:numId w:val="3"/>
        </w:numPr>
        <w:tabs>
          <w:tab w:val="left" w:pos="839"/>
          <w:tab w:val="left" w:pos="840"/>
        </w:tabs>
        <w:ind w:left="360" w:right="710"/>
        <w:rPr>
          <w:rFonts w:asciiTheme="minorHAnsi" w:hAnsiTheme="minorHAnsi" w:cstheme="minorHAnsi"/>
        </w:rPr>
      </w:pPr>
      <w:r w:rsidRPr="00695741">
        <w:rPr>
          <w:rFonts w:asciiTheme="minorHAnsi" w:hAnsiTheme="minorHAnsi" w:cstheme="minorHAnsi"/>
        </w:rPr>
        <w:t>That faculty and staff extend to these students the courtesy of absence, without penalty for lack of attendance, on the day(s) of religious</w:t>
      </w:r>
      <w:r w:rsidRPr="00695741">
        <w:rPr>
          <w:rFonts w:asciiTheme="minorHAnsi" w:hAnsiTheme="minorHAnsi" w:cstheme="minorHAnsi"/>
          <w:spacing w:val="-2"/>
        </w:rPr>
        <w:t xml:space="preserve"> </w:t>
      </w:r>
      <w:r w:rsidRPr="00695741">
        <w:rPr>
          <w:rFonts w:asciiTheme="minorHAnsi" w:hAnsiTheme="minorHAnsi" w:cstheme="minorHAnsi"/>
        </w:rPr>
        <w:t>observance;</w:t>
      </w:r>
    </w:p>
    <w:p w14:paraId="34F59157" w14:textId="77777777" w:rsidR="007155CC" w:rsidRPr="00695741" w:rsidRDefault="007155CC" w:rsidP="007155CC">
      <w:pPr>
        <w:pStyle w:val="BodyText"/>
        <w:spacing w:before="10"/>
        <w:ind w:left="360"/>
        <w:rPr>
          <w:rFonts w:asciiTheme="minorHAnsi" w:hAnsiTheme="minorHAnsi" w:cstheme="minorHAnsi"/>
          <w:sz w:val="22"/>
          <w:szCs w:val="22"/>
        </w:rPr>
      </w:pPr>
    </w:p>
    <w:p w14:paraId="4BD58461" w14:textId="77777777" w:rsidR="007155CC" w:rsidRPr="00695741" w:rsidRDefault="007155CC" w:rsidP="007155CC">
      <w:pPr>
        <w:pStyle w:val="ListParagraph"/>
        <w:numPr>
          <w:ilvl w:val="0"/>
          <w:numId w:val="3"/>
        </w:numPr>
        <w:tabs>
          <w:tab w:val="left" w:pos="839"/>
          <w:tab w:val="left" w:pos="840"/>
        </w:tabs>
        <w:ind w:left="360" w:right="167"/>
        <w:rPr>
          <w:rFonts w:asciiTheme="minorHAnsi" w:hAnsiTheme="minorHAnsi" w:cstheme="minorHAnsi"/>
        </w:rPr>
      </w:pPr>
      <w:r w:rsidRPr="00695741">
        <w:rPr>
          <w:rFonts w:asciiTheme="minorHAnsi" w:hAnsiTheme="minorHAnsi" w:cstheme="minorHAnsi"/>
        </w:rPr>
        <w:t>That faculty and staff extend to these students the opportunity to make up examinations and assignments where</w:t>
      </w:r>
      <w:r w:rsidRPr="00695741">
        <w:rPr>
          <w:rFonts w:asciiTheme="minorHAnsi" w:hAnsiTheme="minorHAnsi" w:cstheme="minorHAnsi"/>
          <w:spacing w:val="-1"/>
        </w:rPr>
        <w:t xml:space="preserve"> </w:t>
      </w:r>
      <w:r w:rsidRPr="00695741">
        <w:rPr>
          <w:rFonts w:asciiTheme="minorHAnsi" w:hAnsiTheme="minorHAnsi" w:cstheme="minorHAnsi"/>
        </w:rPr>
        <w:t>applicable;</w:t>
      </w:r>
    </w:p>
    <w:p w14:paraId="59446BE8" w14:textId="77777777" w:rsidR="007155CC" w:rsidRPr="00695741" w:rsidRDefault="007155CC" w:rsidP="007155CC">
      <w:pPr>
        <w:pStyle w:val="BodyText"/>
        <w:spacing w:before="1"/>
        <w:ind w:left="360"/>
        <w:rPr>
          <w:rFonts w:asciiTheme="minorHAnsi" w:hAnsiTheme="minorHAnsi" w:cstheme="minorHAnsi"/>
          <w:sz w:val="22"/>
          <w:szCs w:val="22"/>
        </w:rPr>
      </w:pPr>
    </w:p>
    <w:p w14:paraId="30EC87FC" w14:textId="77777777" w:rsidR="007155CC" w:rsidRPr="00695741" w:rsidRDefault="007155CC" w:rsidP="007155CC">
      <w:pPr>
        <w:pStyle w:val="ListParagraph"/>
        <w:numPr>
          <w:ilvl w:val="0"/>
          <w:numId w:val="3"/>
        </w:numPr>
        <w:tabs>
          <w:tab w:val="left" w:pos="839"/>
          <w:tab w:val="left" w:pos="840"/>
        </w:tabs>
        <w:ind w:left="360" w:right="370"/>
        <w:rPr>
          <w:rFonts w:asciiTheme="minorHAnsi" w:hAnsiTheme="minorHAnsi" w:cstheme="minorHAnsi"/>
        </w:rPr>
      </w:pPr>
      <w:r w:rsidRPr="00695741">
        <w:rPr>
          <w:rFonts w:asciiTheme="minorHAnsi" w:hAnsiTheme="minorHAnsi" w:cstheme="minorHAnsi"/>
        </w:rPr>
        <w:t>That</w:t>
      </w:r>
      <w:r w:rsidRPr="00695741">
        <w:rPr>
          <w:rFonts w:asciiTheme="minorHAnsi" w:hAnsiTheme="minorHAnsi" w:cstheme="minorHAnsi"/>
          <w:spacing w:val="-3"/>
        </w:rPr>
        <w:t xml:space="preserve"> </w:t>
      </w:r>
      <w:r w:rsidRPr="00695741">
        <w:rPr>
          <w:rFonts w:asciiTheme="minorHAnsi" w:hAnsiTheme="minorHAnsi" w:cstheme="minorHAnsi"/>
        </w:rPr>
        <w:t>prior</w:t>
      </w:r>
      <w:r w:rsidRPr="00695741">
        <w:rPr>
          <w:rFonts w:asciiTheme="minorHAnsi" w:hAnsiTheme="minorHAnsi" w:cstheme="minorHAnsi"/>
          <w:spacing w:val="-5"/>
        </w:rPr>
        <w:t xml:space="preserve"> </w:t>
      </w:r>
      <w:r w:rsidRPr="00695741">
        <w:rPr>
          <w:rFonts w:asciiTheme="minorHAnsi" w:hAnsiTheme="minorHAnsi" w:cstheme="minorHAnsi"/>
        </w:rPr>
        <w:t>to</w:t>
      </w:r>
      <w:r w:rsidRPr="00695741">
        <w:rPr>
          <w:rFonts w:asciiTheme="minorHAnsi" w:hAnsiTheme="minorHAnsi" w:cstheme="minorHAnsi"/>
          <w:spacing w:val="-2"/>
        </w:rPr>
        <w:t xml:space="preserve"> </w:t>
      </w:r>
      <w:r w:rsidRPr="00695741">
        <w:rPr>
          <w:rFonts w:asciiTheme="minorHAnsi" w:hAnsiTheme="minorHAnsi" w:cstheme="minorHAnsi"/>
        </w:rPr>
        <w:t>each</w:t>
      </w:r>
      <w:r w:rsidRPr="00695741">
        <w:rPr>
          <w:rFonts w:asciiTheme="minorHAnsi" w:hAnsiTheme="minorHAnsi" w:cstheme="minorHAnsi"/>
          <w:spacing w:val="-3"/>
        </w:rPr>
        <w:t xml:space="preserve"> </w:t>
      </w:r>
      <w:r w:rsidRPr="00695741">
        <w:rPr>
          <w:rFonts w:asciiTheme="minorHAnsi" w:hAnsiTheme="minorHAnsi" w:cstheme="minorHAnsi"/>
        </w:rPr>
        <w:t>fall</w:t>
      </w:r>
      <w:r w:rsidRPr="00695741">
        <w:rPr>
          <w:rFonts w:asciiTheme="minorHAnsi" w:hAnsiTheme="minorHAnsi" w:cstheme="minorHAnsi"/>
          <w:spacing w:val="-3"/>
        </w:rPr>
        <w:t xml:space="preserve"> </w:t>
      </w:r>
      <w:r w:rsidRPr="00695741">
        <w:rPr>
          <w:rFonts w:asciiTheme="minorHAnsi" w:hAnsiTheme="minorHAnsi" w:cstheme="minorHAnsi"/>
        </w:rPr>
        <w:t>semester</w:t>
      </w:r>
      <w:r w:rsidRPr="00695741">
        <w:rPr>
          <w:rFonts w:asciiTheme="minorHAnsi" w:hAnsiTheme="minorHAnsi" w:cstheme="minorHAnsi"/>
          <w:spacing w:val="-2"/>
        </w:rPr>
        <w:t xml:space="preserve"> </w:t>
      </w:r>
      <w:r w:rsidRPr="00695741">
        <w:rPr>
          <w:rFonts w:asciiTheme="minorHAnsi" w:hAnsiTheme="minorHAnsi" w:cstheme="minorHAnsi"/>
        </w:rPr>
        <w:t>a</w:t>
      </w:r>
      <w:r w:rsidRPr="00695741">
        <w:rPr>
          <w:rFonts w:asciiTheme="minorHAnsi" w:hAnsiTheme="minorHAnsi" w:cstheme="minorHAnsi"/>
          <w:spacing w:val="-3"/>
        </w:rPr>
        <w:t xml:space="preserve"> </w:t>
      </w:r>
      <w:r w:rsidRPr="00695741">
        <w:rPr>
          <w:rFonts w:asciiTheme="minorHAnsi" w:hAnsiTheme="minorHAnsi" w:cstheme="minorHAnsi"/>
        </w:rPr>
        <w:t>three-year</w:t>
      </w:r>
      <w:r w:rsidRPr="00695741">
        <w:rPr>
          <w:rFonts w:asciiTheme="minorHAnsi" w:hAnsiTheme="minorHAnsi" w:cstheme="minorHAnsi"/>
          <w:spacing w:val="-2"/>
        </w:rPr>
        <w:t xml:space="preserve"> </w:t>
      </w:r>
      <w:r w:rsidRPr="00695741">
        <w:rPr>
          <w:rFonts w:asciiTheme="minorHAnsi" w:hAnsiTheme="minorHAnsi" w:cstheme="minorHAnsi"/>
        </w:rPr>
        <w:t>schedule</w:t>
      </w:r>
      <w:r w:rsidRPr="00695741">
        <w:rPr>
          <w:rFonts w:asciiTheme="minorHAnsi" w:hAnsiTheme="minorHAnsi" w:cstheme="minorHAnsi"/>
          <w:spacing w:val="-2"/>
        </w:rPr>
        <w:t xml:space="preserve"> </w:t>
      </w:r>
      <w:r w:rsidRPr="00695741">
        <w:rPr>
          <w:rFonts w:asciiTheme="minorHAnsi" w:hAnsiTheme="minorHAnsi" w:cstheme="minorHAnsi"/>
        </w:rPr>
        <w:t>of</w:t>
      </w:r>
      <w:r w:rsidRPr="00695741">
        <w:rPr>
          <w:rFonts w:asciiTheme="minorHAnsi" w:hAnsiTheme="minorHAnsi" w:cstheme="minorHAnsi"/>
          <w:spacing w:val="-5"/>
        </w:rPr>
        <w:t xml:space="preserve"> </w:t>
      </w:r>
      <w:r w:rsidRPr="00695741">
        <w:rPr>
          <w:rFonts w:asciiTheme="minorHAnsi" w:hAnsiTheme="minorHAnsi" w:cstheme="minorHAnsi"/>
        </w:rPr>
        <w:t>university-recognized</w:t>
      </w:r>
      <w:r w:rsidRPr="00695741">
        <w:rPr>
          <w:rFonts w:asciiTheme="minorHAnsi" w:hAnsiTheme="minorHAnsi" w:cstheme="minorHAnsi"/>
          <w:spacing w:val="-2"/>
        </w:rPr>
        <w:t xml:space="preserve"> </w:t>
      </w:r>
      <w:r w:rsidRPr="00695741">
        <w:rPr>
          <w:rFonts w:asciiTheme="minorHAnsi" w:hAnsiTheme="minorHAnsi" w:cstheme="minorHAnsi"/>
        </w:rPr>
        <w:t>religious</w:t>
      </w:r>
      <w:r w:rsidRPr="00695741">
        <w:rPr>
          <w:rFonts w:asciiTheme="minorHAnsi" w:hAnsiTheme="minorHAnsi" w:cstheme="minorHAnsi"/>
          <w:spacing w:val="-5"/>
        </w:rPr>
        <w:t xml:space="preserve"> </w:t>
      </w:r>
      <w:r w:rsidRPr="00695741">
        <w:rPr>
          <w:rFonts w:asciiTheme="minorHAnsi" w:hAnsiTheme="minorHAnsi" w:cstheme="minorHAnsi"/>
        </w:rPr>
        <w:t>holidays</w:t>
      </w:r>
      <w:r w:rsidRPr="00695741">
        <w:rPr>
          <w:rFonts w:asciiTheme="minorHAnsi" w:hAnsiTheme="minorHAnsi" w:cstheme="minorHAnsi"/>
          <w:spacing w:val="-4"/>
        </w:rPr>
        <w:t xml:space="preserve"> </w:t>
      </w:r>
      <w:r w:rsidRPr="00695741">
        <w:rPr>
          <w:rFonts w:asciiTheme="minorHAnsi" w:hAnsiTheme="minorHAnsi" w:cstheme="minorHAnsi"/>
        </w:rPr>
        <w:t>most frequently observed will be distributed to faculty by The Office of Religious &amp; Spiritual</w:t>
      </w:r>
      <w:r w:rsidRPr="00695741">
        <w:rPr>
          <w:rFonts w:asciiTheme="minorHAnsi" w:hAnsiTheme="minorHAnsi" w:cstheme="minorHAnsi"/>
          <w:spacing w:val="-18"/>
        </w:rPr>
        <w:t xml:space="preserve"> </w:t>
      </w:r>
      <w:r w:rsidRPr="00695741">
        <w:rPr>
          <w:rFonts w:asciiTheme="minorHAnsi" w:hAnsiTheme="minorHAnsi" w:cstheme="minorHAnsi"/>
        </w:rPr>
        <w:t>Life.</w:t>
      </w:r>
    </w:p>
    <w:p w14:paraId="7D29AD2E" w14:textId="77777777" w:rsidR="007155CC" w:rsidRPr="00695741" w:rsidRDefault="007155CC" w:rsidP="007155CC">
      <w:pPr>
        <w:pStyle w:val="BodyText"/>
        <w:spacing w:before="9"/>
        <w:ind w:left="360"/>
        <w:rPr>
          <w:rFonts w:asciiTheme="minorHAnsi" w:hAnsiTheme="minorHAnsi" w:cstheme="minorHAnsi"/>
          <w:sz w:val="22"/>
          <w:szCs w:val="22"/>
        </w:rPr>
      </w:pPr>
    </w:p>
    <w:p w14:paraId="42E5A75C" w14:textId="77777777" w:rsidR="007155CC" w:rsidRPr="00695741" w:rsidRDefault="007155CC" w:rsidP="007155CC">
      <w:pPr>
        <w:pStyle w:val="ListParagraph"/>
        <w:numPr>
          <w:ilvl w:val="0"/>
          <w:numId w:val="3"/>
        </w:numPr>
        <w:tabs>
          <w:tab w:val="left" w:pos="838"/>
          <w:tab w:val="left" w:pos="839"/>
        </w:tabs>
        <w:spacing w:before="1"/>
        <w:ind w:left="360" w:right="270"/>
        <w:rPr>
          <w:rFonts w:asciiTheme="minorHAnsi" w:hAnsiTheme="minorHAnsi" w:cstheme="minorHAnsi"/>
        </w:rPr>
      </w:pPr>
      <w:r w:rsidRPr="00695741">
        <w:rPr>
          <w:rFonts w:asciiTheme="minorHAnsi" w:hAnsiTheme="minorHAnsi" w:cstheme="minorHAnsi"/>
        </w:rPr>
        <w:t>The policy and calendar of observances be posted on appropriate websites, including, but not limited to Registrar’s Office, Office of Religious and Spiritual Life website, Office of Diversity &amp; Inclusion, the Koehler Center and Campus</w:t>
      </w:r>
      <w:r w:rsidRPr="00695741">
        <w:rPr>
          <w:rFonts w:asciiTheme="minorHAnsi" w:hAnsiTheme="minorHAnsi" w:cstheme="minorHAnsi"/>
          <w:spacing w:val="-1"/>
        </w:rPr>
        <w:t xml:space="preserve"> </w:t>
      </w:r>
      <w:r w:rsidRPr="00695741">
        <w:rPr>
          <w:rFonts w:asciiTheme="minorHAnsi" w:hAnsiTheme="minorHAnsi" w:cstheme="minorHAnsi"/>
        </w:rPr>
        <w:t>Life.</w:t>
      </w:r>
    </w:p>
    <w:p w14:paraId="7F5252C1" w14:textId="77777777" w:rsidR="007155CC" w:rsidRPr="00695741" w:rsidRDefault="007155CC" w:rsidP="007155CC">
      <w:pPr>
        <w:pStyle w:val="BodyText"/>
        <w:spacing w:before="1"/>
        <w:ind w:left="360"/>
        <w:rPr>
          <w:rFonts w:asciiTheme="minorHAnsi" w:hAnsiTheme="minorHAnsi" w:cstheme="minorHAnsi"/>
          <w:sz w:val="22"/>
          <w:szCs w:val="22"/>
        </w:rPr>
      </w:pPr>
    </w:p>
    <w:p w14:paraId="143DAA41" w14:textId="77777777" w:rsidR="007155CC" w:rsidRPr="00695741" w:rsidRDefault="007155CC" w:rsidP="007155CC">
      <w:pPr>
        <w:pStyle w:val="ListParagraph"/>
        <w:numPr>
          <w:ilvl w:val="0"/>
          <w:numId w:val="3"/>
        </w:numPr>
        <w:tabs>
          <w:tab w:val="left" w:pos="838"/>
          <w:tab w:val="left" w:pos="839"/>
        </w:tabs>
        <w:ind w:left="360" w:right="414"/>
        <w:rPr>
          <w:rFonts w:asciiTheme="minorHAnsi" w:hAnsiTheme="minorHAnsi" w:cstheme="minorHAnsi"/>
        </w:rPr>
      </w:pPr>
      <w:r w:rsidRPr="00695741">
        <w:rPr>
          <w:rFonts w:asciiTheme="minorHAnsi" w:hAnsiTheme="minorHAnsi" w:cstheme="minorHAnsi"/>
        </w:rPr>
        <w:t>That</w:t>
      </w:r>
      <w:r w:rsidRPr="00695741">
        <w:rPr>
          <w:rFonts w:asciiTheme="minorHAnsi" w:hAnsiTheme="minorHAnsi" w:cstheme="minorHAnsi"/>
          <w:spacing w:val="-3"/>
        </w:rPr>
        <w:t xml:space="preserve"> </w:t>
      </w:r>
      <w:r w:rsidRPr="00695741">
        <w:rPr>
          <w:rFonts w:asciiTheme="minorHAnsi" w:hAnsiTheme="minorHAnsi" w:cstheme="minorHAnsi"/>
        </w:rPr>
        <w:t>the</w:t>
      </w:r>
      <w:r w:rsidRPr="00695741">
        <w:rPr>
          <w:rFonts w:asciiTheme="minorHAnsi" w:hAnsiTheme="minorHAnsi" w:cstheme="minorHAnsi"/>
          <w:spacing w:val="-3"/>
        </w:rPr>
        <w:t xml:space="preserve"> </w:t>
      </w:r>
      <w:r w:rsidRPr="00695741">
        <w:rPr>
          <w:rFonts w:asciiTheme="minorHAnsi" w:hAnsiTheme="minorHAnsi" w:cstheme="minorHAnsi"/>
        </w:rPr>
        <w:t>administration</w:t>
      </w:r>
      <w:r w:rsidRPr="00695741">
        <w:rPr>
          <w:rFonts w:asciiTheme="minorHAnsi" w:hAnsiTheme="minorHAnsi" w:cstheme="minorHAnsi"/>
          <w:spacing w:val="-3"/>
        </w:rPr>
        <w:t xml:space="preserve"> </w:t>
      </w:r>
      <w:r w:rsidRPr="00695741">
        <w:rPr>
          <w:rFonts w:asciiTheme="minorHAnsi" w:hAnsiTheme="minorHAnsi" w:cstheme="minorHAnsi"/>
        </w:rPr>
        <w:t>conveys</w:t>
      </w:r>
      <w:r w:rsidRPr="00695741">
        <w:rPr>
          <w:rFonts w:asciiTheme="minorHAnsi" w:hAnsiTheme="minorHAnsi" w:cstheme="minorHAnsi"/>
          <w:spacing w:val="-4"/>
        </w:rPr>
        <w:t xml:space="preserve"> </w:t>
      </w:r>
      <w:r w:rsidRPr="00695741">
        <w:rPr>
          <w:rFonts w:asciiTheme="minorHAnsi" w:hAnsiTheme="minorHAnsi" w:cstheme="minorHAnsi"/>
        </w:rPr>
        <w:t>this</w:t>
      </w:r>
      <w:r w:rsidRPr="00695741">
        <w:rPr>
          <w:rFonts w:asciiTheme="minorHAnsi" w:hAnsiTheme="minorHAnsi" w:cstheme="minorHAnsi"/>
          <w:spacing w:val="-4"/>
        </w:rPr>
        <w:t xml:space="preserve"> </w:t>
      </w:r>
      <w:r w:rsidRPr="00695741">
        <w:rPr>
          <w:rFonts w:asciiTheme="minorHAnsi" w:hAnsiTheme="minorHAnsi" w:cstheme="minorHAnsi"/>
        </w:rPr>
        <w:t>policy</w:t>
      </w:r>
      <w:r w:rsidRPr="00695741">
        <w:rPr>
          <w:rFonts w:asciiTheme="minorHAnsi" w:hAnsiTheme="minorHAnsi" w:cstheme="minorHAnsi"/>
          <w:spacing w:val="-1"/>
        </w:rPr>
        <w:t xml:space="preserve"> </w:t>
      </w:r>
      <w:r w:rsidRPr="00695741">
        <w:rPr>
          <w:rFonts w:asciiTheme="minorHAnsi" w:hAnsiTheme="minorHAnsi" w:cstheme="minorHAnsi"/>
        </w:rPr>
        <w:t>to</w:t>
      </w:r>
      <w:r w:rsidRPr="00695741">
        <w:rPr>
          <w:rFonts w:asciiTheme="minorHAnsi" w:hAnsiTheme="minorHAnsi" w:cstheme="minorHAnsi"/>
          <w:spacing w:val="-2"/>
        </w:rPr>
        <w:t xml:space="preserve"> </w:t>
      </w:r>
      <w:r w:rsidRPr="00695741">
        <w:rPr>
          <w:rFonts w:asciiTheme="minorHAnsi" w:hAnsiTheme="minorHAnsi" w:cstheme="minorHAnsi"/>
        </w:rPr>
        <w:t>students</w:t>
      </w:r>
      <w:r w:rsidRPr="00695741">
        <w:rPr>
          <w:rFonts w:asciiTheme="minorHAnsi" w:hAnsiTheme="minorHAnsi" w:cstheme="minorHAnsi"/>
          <w:spacing w:val="-4"/>
        </w:rPr>
        <w:t xml:space="preserve"> </w:t>
      </w:r>
      <w:r w:rsidRPr="00695741">
        <w:rPr>
          <w:rFonts w:asciiTheme="minorHAnsi" w:hAnsiTheme="minorHAnsi" w:cstheme="minorHAnsi"/>
        </w:rPr>
        <w:t>by</w:t>
      </w:r>
      <w:r w:rsidRPr="00695741">
        <w:rPr>
          <w:rFonts w:asciiTheme="minorHAnsi" w:hAnsiTheme="minorHAnsi" w:cstheme="minorHAnsi"/>
          <w:spacing w:val="-2"/>
        </w:rPr>
        <w:t xml:space="preserve"> </w:t>
      </w:r>
      <w:r w:rsidRPr="00695741">
        <w:rPr>
          <w:rFonts w:asciiTheme="minorHAnsi" w:hAnsiTheme="minorHAnsi" w:cstheme="minorHAnsi"/>
        </w:rPr>
        <w:t>including</w:t>
      </w:r>
      <w:r w:rsidRPr="00695741">
        <w:rPr>
          <w:rFonts w:asciiTheme="minorHAnsi" w:hAnsiTheme="minorHAnsi" w:cstheme="minorHAnsi"/>
          <w:spacing w:val="-1"/>
        </w:rPr>
        <w:t xml:space="preserve"> </w:t>
      </w:r>
      <w:r w:rsidRPr="00695741">
        <w:rPr>
          <w:rFonts w:asciiTheme="minorHAnsi" w:hAnsiTheme="minorHAnsi" w:cstheme="minorHAnsi"/>
        </w:rPr>
        <w:t>it</w:t>
      </w:r>
      <w:r w:rsidRPr="00695741">
        <w:rPr>
          <w:rFonts w:asciiTheme="minorHAnsi" w:hAnsiTheme="minorHAnsi" w:cstheme="minorHAnsi"/>
          <w:spacing w:val="-3"/>
        </w:rPr>
        <w:t xml:space="preserve"> </w:t>
      </w:r>
      <w:r w:rsidRPr="00695741">
        <w:rPr>
          <w:rFonts w:asciiTheme="minorHAnsi" w:hAnsiTheme="minorHAnsi" w:cstheme="minorHAnsi"/>
        </w:rPr>
        <w:t>on</w:t>
      </w:r>
      <w:r w:rsidRPr="00695741">
        <w:rPr>
          <w:rFonts w:asciiTheme="minorHAnsi" w:hAnsiTheme="minorHAnsi" w:cstheme="minorHAnsi"/>
          <w:spacing w:val="-2"/>
        </w:rPr>
        <w:t xml:space="preserve"> </w:t>
      </w:r>
      <w:r w:rsidRPr="00695741">
        <w:rPr>
          <w:rFonts w:asciiTheme="minorHAnsi" w:hAnsiTheme="minorHAnsi" w:cstheme="minorHAnsi"/>
        </w:rPr>
        <w:t>the</w:t>
      </w:r>
      <w:r w:rsidRPr="00695741">
        <w:rPr>
          <w:rFonts w:asciiTheme="minorHAnsi" w:hAnsiTheme="minorHAnsi" w:cstheme="minorHAnsi"/>
          <w:spacing w:val="-4"/>
        </w:rPr>
        <w:t xml:space="preserve"> </w:t>
      </w:r>
      <w:r w:rsidRPr="00695741">
        <w:rPr>
          <w:rFonts w:asciiTheme="minorHAnsi" w:hAnsiTheme="minorHAnsi" w:cstheme="minorHAnsi"/>
        </w:rPr>
        <w:t>university’s</w:t>
      </w:r>
      <w:r w:rsidRPr="00695741">
        <w:rPr>
          <w:rFonts w:asciiTheme="minorHAnsi" w:hAnsiTheme="minorHAnsi" w:cstheme="minorHAnsi"/>
          <w:spacing w:val="-6"/>
        </w:rPr>
        <w:t xml:space="preserve"> </w:t>
      </w:r>
      <w:r w:rsidRPr="00695741">
        <w:rPr>
          <w:rFonts w:asciiTheme="minorHAnsi" w:hAnsiTheme="minorHAnsi" w:cstheme="minorHAnsi"/>
        </w:rPr>
        <w:t>website</w:t>
      </w:r>
      <w:r w:rsidRPr="00695741">
        <w:rPr>
          <w:rFonts w:asciiTheme="minorHAnsi" w:hAnsiTheme="minorHAnsi" w:cstheme="minorHAnsi"/>
          <w:spacing w:val="-2"/>
        </w:rPr>
        <w:t xml:space="preserve"> </w:t>
      </w:r>
      <w:r w:rsidRPr="00695741">
        <w:rPr>
          <w:rFonts w:asciiTheme="minorHAnsi" w:hAnsiTheme="minorHAnsi" w:cstheme="minorHAnsi"/>
        </w:rPr>
        <w:t>and other places deemed appropriate. Colleges and Schools are also highly encouraged to post the policy online and include it in appropriate faculty, staff and student</w:t>
      </w:r>
      <w:r w:rsidRPr="00695741">
        <w:rPr>
          <w:rFonts w:asciiTheme="minorHAnsi" w:hAnsiTheme="minorHAnsi" w:cstheme="minorHAnsi"/>
          <w:spacing w:val="-5"/>
        </w:rPr>
        <w:t xml:space="preserve"> </w:t>
      </w:r>
      <w:r w:rsidRPr="00695741">
        <w:rPr>
          <w:rFonts w:asciiTheme="minorHAnsi" w:hAnsiTheme="minorHAnsi" w:cstheme="minorHAnsi"/>
        </w:rPr>
        <w:t>resources.</w:t>
      </w:r>
    </w:p>
    <w:p w14:paraId="1CB94812" w14:textId="77777777" w:rsidR="007155CC" w:rsidRPr="00695741" w:rsidRDefault="007155CC" w:rsidP="007155CC">
      <w:pPr>
        <w:pStyle w:val="BodyText"/>
        <w:ind w:left="360"/>
        <w:rPr>
          <w:rFonts w:asciiTheme="minorHAnsi" w:hAnsiTheme="minorHAnsi" w:cstheme="minorHAnsi"/>
          <w:sz w:val="22"/>
          <w:szCs w:val="22"/>
        </w:rPr>
      </w:pPr>
    </w:p>
    <w:p w14:paraId="0B0EA6D2" w14:textId="77777777" w:rsidR="007155CC" w:rsidRPr="00695741" w:rsidRDefault="007155CC" w:rsidP="007155CC">
      <w:pPr>
        <w:pStyle w:val="Heading1"/>
        <w:rPr>
          <w:rFonts w:asciiTheme="minorHAnsi" w:hAnsiTheme="minorHAnsi" w:cstheme="minorHAnsi"/>
          <w:sz w:val="22"/>
          <w:szCs w:val="22"/>
        </w:rPr>
      </w:pPr>
      <w:r w:rsidRPr="00695741">
        <w:rPr>
          <w:rFonts w:asciiTheme="minorHAnsi" w:hAnsiTheme="minorHAnsi" w:cstheme="minorHAnsi"/>
          <w:sz w:val="22"/>
          <w:szCs w:val="22"/>
        </w:rPr>
        <w:t>Guidelines for Students</w:t>
      </w:r>
    </w:p>
    <w:p w14:paraId="4C227651" w14:textId="77777777" w:rsidR="007155CC" w:rsidRPr="00695741" w:rsidRDefault="007155CC" w:rsidP="007155CC">
      <w:pPr>
        <w:pStyle w:val="BodyText"/>
        <w:rPr>
          <w:rFonts w:asciiTheme="minorHAnsi" w:hAnsiTheme="minorHAnsi" w:cstheme="minorHAnsi"/>
          <w:b/>
          <w:sz w:val="22"/>
          <w:szCs w:val="22"/>
        </w:rPr>
      </w:pPr>
    </w:p>
    <w:p w14:paraId="6121EBD2" w14:textId="77777777" w:rsidR="007155CC" w:rsidRPr="00695741" w:rsidRDefault="007155CC" w:rsidP="007155CC">
      <w:pPr>
        <w:pStyle w:val="ListParagraph"/>
        <w:numPr>
          <w:ilvl w:val="0"/>
          <w:numId w:val="2"/>
        </w:numPr>
        <w:spacing w:before="91"/>
        <w:ind w:left="360" w:right="616"/>
        <w:rPr>
          <w:rFonts w:asciiTheme="minorHAnsi" w:hAnsiTheme="minorHAnsi" w:cstheme="minorHAnsi"/>
        </w:rPr>
      </w:pPr>
      <w:r w:rsidRPr="00695741">
        <w:rPr>
          <w:rFonts w:asciiTheme="minorHAnsi" w:hAnsiTheme="minorHAnsi" w:cstheme="minorHAnsi"/>
        </w:rPr>
        <w:t>That students notify faculty in writing during the first two weeks of the semester of their intention to be absent from class on their day(s) of religious observance.</w:t>
      </w:r>
    </w:p>
    <w:p w14:paraId="6D60D4CB" w14:textId="77777777" w:rsidR="007155CC" w:rsidRPr="00695741" w:rsidRDefault="007155CC" w:rsidP="007155CC">
      <w:pPr>
        <w:pStyle w:val="ListParagraph"/>
        <w:numPr>
          <w:ilvl w:val="0"/>
          <w:numId w:val="2"/>
        </w:numPr>
        <w:spacing w:before="1"/>
        <w:ind w:left="360" w:right="316"/>
        <w:rPr>
          <w:rFonts w:asciiTheme="minorHAnsi" w:hAnsiTheme="minorHAnsi" w:cstheme="minorHAnsi"/>
        </w:rPr>
      </w:pPr>
      <w:r w:rsidRPr="00695741">
        <w:rPr>
          <w:rFonts w:asciiTheme="minorHAnsi" w:hAnsiTheme="minorHAnsi" w:cstheme="minorHAnsi"/>
        </w:rPr>
        <w:t>That faculty will continue to extend to students the courtesy of absence without penalty on these occasions, including permission to make up examinations, quizzes or other</w:t>
      </w:r>
      <w:r w:rsidRPr="00695741">
        <w:rPr>
          <w:rFonts w:asciiTheme="minorHAnsi" w:hAnsiTheme="minorHAnsi" w:cstheme="minorHAnsi"/>
          <w:spacing w:val="-3"/>
        </w:rPr>
        <w:t xml:space="preserve"> </w:t>
      </w:r>
      <w:r w:rsidRPr="00695741">
        <w:rPr>
          <w:rFonts w:asciiTheme="minorHAnsi" w:hAnsiTheme="minorHAnsi" w:cstheme="minorHAnsi"/>
        </w:rPr>
        <w:t>assignments.</w:t>
      </w:r>
    </w:p>
    <w:p w14:paraId="36D0531A" w14:textId="77777777" w:rsidR="007155CC" w:rsidRPr="00695741" w:rsidRDefault="007155CC" w:rsidP="007155CC">
      <w:pPr>
        <w:pStyle w:val="ListParagraph"/>
        <w:numPr>
          <w:ilvl w:val="0"/>
          <w:numId w:val="2"/>
        </w:numPr>
        <w:spacing w:before="1"/>
        <w:ind w:left="360" w:right="803"/>
        <w:rPr>
          <w:rFonts w:asciiTheme="minorHAnsi" w:hAnsiTheme="minorHAnsi" w:cstheme="minorHAnsi"/>
        </w:rPr>
      </w:pPr>
      <w:r w:rsidRPr="00695741">
        <w:rPr>
          <w:rFonts w:asciiTheme="minorHAnsi" w:hAnsiTheme="minorHAnsi" w:cstheme="minorHAnsi"/>
        </w:rPr>
        <w:t>That student members of other religious groups not listed in the calendar are also entitled to the same courtesies and</w:t>
      </w:r>
      <w:r w:rsidRPr="00695741">
        <w:rPr>
          <w:rFonts w:asciiTheme="minorHAnsi" w:hAnsiTheme="minorHAnsi" w:cstheme="minorHAnsi"/>
          <w:spacing w:val="-1"/>
        </w:rPr>
        <w:t xml:space="preserve"> </w:t>
      </w:r>
      <w:r w:rsidRPr="00695741">
        <w:rPr>
          <w:rFonts w:asciiTheme="minorHAnsi" w:hAnsiTheme="minorHAnsi" w:cstheme="minorHAnsi"/>
        </w:rPr>
        <w:t>consideration.</w:t>
      </w:r>
    </w:p>
    <w:p w14:paraId="7110E0E3" w14:textId="77777777" w:rsidR="007155CC" w:rsidRPr="00695741" w:rsidRDefault="007155CC" w:rsidP="007155CC">
      <w:pPr>
        <w:pStyle w:val="ListParagraph"/>
        <w:numPr>
          <w:ilvl w:val="0"/>
          <w:numId w:val="2"/>
        </w:numPr>
        <w:ind w:left="360" w:right="178"/>
        <w:rPr>
          <w:rFonts w:asciiTheme="minorHAnsi" w:hAnsiTheme="minorHAnsi" w:cstheme="minorHAnsi"/>
        </w:rPr>
      </w:pPr>
      <w:r w:rsidRPr="00695741">
        <w:rPr>
          <w:rFonts w:asciiTheme="minorHAnsi" w:hAnsiTheme="minorHAnsi" w:cstheme="minorHAnsi"/>
        </w:rPr>
        <w:t>That students with general concerns or questions about this policy and its implementation contact The Office of Religious and Spiritual Life or the Provost’s</w:t>
      </w:r>
      <w:r w:rsidRPr="00695741">
        <w:rPr>
          <w:rFonts w:asciiTheme="minorHAnsi" w:hAnsiTheme="minorHAnsi" w:cstheme="minorHAnsi"/>
          <w:spacing w:val="-3"/>
        </w:rPr>
        <w:t xml:space="preserve"> </w:t>
      </w:r>
      <w:r w:rsidRPr="00695741">
        <w:rPr>
          <w:rFonts w:asciiTheme="minorHAnsi" w:hAnsiTheme="minorHAnsi" w:cstheme="minorHAnsi"/>
        </w:rPr>
        <w:t>Office.</w:t>
      </w:r>
    </w:p>
    <w:p w14:paraId="2F905981" w14:textId="77777777" w:rsidR="007155CC" w:rsidRPr="00695741" w:rsidRDefault="007155CC" w:rsidP="007155CC">
      <w:pPr>
        <w:pStyle w:val="ListParagraph"/>
        <w:numPr>
          <w:ilvl w:val="0"/>
          <w:numId w:val="2"/>
        </w:numPr>
        <w:ind w:left="360" w:right="330"/>
        <w:rPr>
          <w:rFonts w:asciiTheme="minorHAnsi" w:hAnsiTheme="minorHAnsi" w:cstheme="minorHAnsi"/>
        </w:rPr>
      </w:pPr>
      <w:r w:rsidRPr="00695741">
        <w:rPr>
          <w:rFonts w:asciiTheme="minorHAnsi" w:hAnsiTheme="minorHAnsi" w:cstheme="minorHAnsi"/>
        </w:rPr>
        <w:t>That students with concerns about the policy’s implementation in a particular class contact the chair of that department.</w:t>
      </w:r>
    </w:p>
    <w:p w14:paraId="4FC67936" w14:textId="77777777" w:rsidR="007155CC" w:rsidRPr="00695741" w:rsidRDefault="007155CC" w:rsidP="007155CC">
      <w:pPr>
        <w:pStyle w:val="BodyText"/>
        <w:spacing w:before="9"/>
        <w:rPr>
          <w:rFonts w:asciiTheme="minorHAnsi" w:hAnsiTheme="minorHAnsi" w:cstheme="minorHAnsi"/>
          <w:sz w:val="22"/>
          <w:szCs w:val="22"/>
        </w:rPr>
      </w:pPr>
    </w:p>
    <w:p w14:paraId="0C24F42C" w14:textId="77777777" w:rsidR="007155CC" w:rsidRPr="00695741" w:rsidRDefault="007155CC" w:rsidP="007155CC">
      <w:pPr>
        <w:pStyle w:val="Heading1"/>
        <w:rPr>
          <w:rFonts w:asciiTheme="minorHAnsi" w:hAnsiTheme="minorHAnsi" w:cstheme="minorHAnsi"/>
          <w:sz w:val="22"/>
          <w:szCs w:val="22"/>
        </w:rPr>
      </w:pPr>
      <w:r w:rsidRPr="00695741">
        <w:rPr>
          <w:rFonts w:asciiTheme="minorHAnsi" w:hAnsiTheme="minorHAnsi" w:cstheme="minorHAnsi"/>
          <w:sz w:val="22"/>
          <w:szCs w:val="22"/>
        </w:rPr>
        <w:lastRenderedPageBreak/>
        <w:t>Guidelines for</w:t>
      </w:r>
      <w:r w:rsidRPr="00695741">
        <w:rPr>
          <w:rFonts w:asciiTheme="minorHAnsi" w:hAnsiTheme="minorHAnsi" w:cstheme="minorHAnsi"/>
          <w:spacing w:val="-12"/>
          <w:sz w:val="22"/>
          <w:szCs w:val="22"/>
        </w:rPr>
        <w:t xml:space="preserve"> </w:t>
      </w:r>
      <w:r w:rsidRPr="00695741">
        <w:rPr>
          <w:rFonts w:asciiTheme="minorHAnsi" w:hAnsiTheme="minorHAnsi" w:cstheme="minorHAnsi"/>
          <w:sz w:val="22"/>
          <w:szCs w:val="22"/>
        </w:rPr>
        <w:t>Faculty</w:t>
      </w:r>
    </w:p>
    <w:p w14:paraId="00B7F083" w14:textId="77777777" w:rsidR="007155CC" w:rsidRPr="00695741" w:rsidRDefault="007155CC" w:rsidP="007155CC">
      <w:pPr>
        <w:pStyle w:val="ListParagraph"/>
        <w:numPr>
          <w:ilvl w:val="0"/>
          <w:numId w:val="1"/>
        </w:numPr>
        <w:spacing w:before="1"/>
        <w:ind w:left="360"/>
        <w:rPr>
          <w:rFonts w:asciiTheme="minorHAnsi" w:hAnsiTheme="minorHAnsi" w:cstheme="minorHAnsi"/>
        </w:rPr>
      </w:pPr>
      <w:r w:rsidRPr="00695741">
        <w:rPr>
          <w:rFonts w:asciiTheme="minorHAnsi" w:hAnsiTheme="minorHAnsi" w:cstheme="minorHAnsi"/>
        </w:rPr>
        <w:t>That faculty include the Religious Holidays policy in their syllabi and/or the information on TCU</w:t>
      </w:r>
      <w:r w:rsidRPr="00695741">
        <w:rPr>
          <w:rFonts w:asciiTheme="minorHAnsi" w:hAnsiTheme="minorHAnsi" w:cstheme="minorHAnsi"/>
          <w:spacing w:val="-27"/>
        </w:rPr>
        <w:t xml:space="preserve"> </w:t>
      </w:r>
      <w:r w:rsidRPr="00695741">
        <w:rPr>
          <w:rFonts w:asciiTheme="minorHAnsi" w:hAnsiTheme="minorHAnsi" w:cstheme="minorHAnsi"/>
        </w:rPr>
        <w:t>Online.</w:t>
      </w:r>
    </w:p>
    <w:p w14:paraId="2B9291BB" w14:textId="77777777" w:rsidR="007155CC" w:rsidRPr="00695741" w:rsidRDefault="007155CC" w:rsidP="007155CC">
      <w:pPr>
        <w:pStyle w:val="ListParagraph"/>
        <w:numPr>
          <w:ilvl w:val="0"/>
          <w:numId w:val="1"/>
        </w:numPr>
        <w:ind w:left="360" w:right="679"/>
        <w:rPr>
          <w:rFonts w:asciiTheme="minorHAnsi" w:hAnsiTheme="minorHAnsi" w:cstheme="minorHAnsi"/>
        </w:rPr>
      </w:pPr>
      <w:r w:rsidRPr="00695741">
        <w:rPr>
          <w:rFonts w:asciiTheme="minorHAnsi" w:hAnsiTheme="minorHAnsi" w:cstheme="minorHAnsi"/>
        </w:rPr>
        <w:t>That faculty continue to extend to students the courtesy of absence without penalty on these occasions, including permission to make up examinations, quizzes or other</w:t>
      </w:r>
      <w:r w:rsidRPr="00695741">
        <w:rPr>
          <w:rFonts w:asciiTheme="minorHAnsi" w:hAnsiTheme="minorHAnsi" w:cstheme="minorHAnsi"/>
          <w:spacing w:val="-3"/>
        </w:rPr>
        <w:t xml:space="preserve"> </w:t>
      </w:r>
      <w:r w:rsidRPr="00695741">
        <w:rPr>
          <w:rFonts w:asciiTheme="minorHAnsi" w:hAnsiTheme="minorHAnsi" w:cstheme="minorHAnsi"/>
        </w:rPr>
        <w:t>assignments.</w:t>
      </w:r>
    </w:p>
    <w:p w14:paraId="30ED78FE" w14:textId="77777777" w:rsidR="007155CC" w:rsidRPr="00695741" w:rsidRDefault="007155CC" w:rsidP="007155CC">
      <w:pPr>
        <w:pStyle w:val="ListParagraph"/>
        <w:numPr>
          <w:ilvl w:val="0"/>
          <w:numId w:val="1"/>
        </w:numPr>
        <w:spacing w:before="1"/>
        <w:ind w:left="360" w:right="568"/>
        <w:rPr>
          <w:rFonts w:asciiTheme="minorHAnsi" w:hAnsiTheme="minorHAnsi" w:cstheme="minorHAnsi"/>
        </w:rPr>
      </w:pPr>
      <w:r w:rsidRPr="00695741">
        <w:rPr>
          <w:rFonts w:asciiTheme="minorHAnsi" w:hAnsiTheme="minorHAnsi" w:cstheme="minorHAnsi"/>
        </w:rPr>
        <w:t>That faculty will extend to student members of other religious groups not listed in the calendar the same courtesies and</w:t>
      </w:r>
      <w:r w:rsidRPr="00695741">
        <w:rPr>
          <w:rFonts w:asciiTheme="minorHAnsi" w:hAnsiTheme="minorHAnsi" w:cstheme="minorHAnsi"/>
          <w:spacing w:val="-1"/>
        </w:rPr>
        <w:t xml:space="preserve"> </w:t>
      </w:r>
      <w:r w:rsidRPr="00695741">
        <w:rPr>
          <w:rFonts w:asciiTheme="minorHAnsi" w:hAnsiTheme="minorHAnsi" w:cstheme="minorHAnsi"/>
        </w:rPr>
        <w:t>consideration.</w:t>
      </w:r>
    </w:p>
    <w:p w14:paraId="2147873F" w14:textId="77777777" w:rsidR="007155CC" w:rsidRPr="00695741" w:rsidRDefault="007155CC" w:rsidP="007155CC">
      <w:pPr>
        <w:pStyle w:val="Heading1"/>
        <w:spacing w:before="69"/>
        <w:rPr>
          <w:rFonts w:asciiTheme="minorHAnsi" w:hAnsiTheme="minorHAnsi" w:cstheme="minorHAnsi"/>
          <w:sz w:val="22"/>
          <w:szCs w:val="22"/>
        </w:rPr>
      </w:pPr>
    </w:p>
    <w:p w14:paraId="501C4B59" w14:textId="77777777" w:rsidR="007155CC" w:rsidRPr="00695741" w:rsidRDefault="007155CC" w:rsidP="007155CC">
      <w:pPr>
        <w:pStyle w:val="Heading1"/>
        <w:spacing w:before="69"/>
        <w:rPr>
          <w:rFonts w:asciiTheme="minorHAnsi" w:hAnsiTheme="minorHAnsi" w:cstheme="minorHAnsi"/>
          <w:sz w:val="22"/>
          <w:szCs w:val="22"/>
        </w:rPr>
      </w:pPr>
      <w:r w:rsidRPr="00695741">
        <w:rPr>
          <w:rFonts w:asciiTheme="minorHAnsi" w:hAnsiTheme="minorHAnsi" w:cstheme="minorHAnsi"/>
          <w:sz w:val="22"/>
          <w:szCs w:val="22"/>
        </w:rPr>
        <w:t>Policy Background</w:t>
      </w:r>
    </w:p>
    <w:p w14:paraId="68837427" w14:textId="77777777" w:rsidR="007155CC" w:rsidRPr="00695741" w:rsidRDefault="007155CC" w:rsidP="007155CC">
      <w:pPr>
        <w:pStyle w:val="BodyText"/>
        <w:spacing w:before="91"/>
        <w:ind w:right="127"/>
        <w:rPr>
          <w:rFonts w:asciiTheme="minorHAnsi" w:hAnsiTheme="minorHAnsi" w:cstheme="minorHAnsi"/>
          <w:sz w:val="22"/>
          <w:szCs w:val="22"/>
        </w:rPr>
      </w:pPr>
      <w:r w:rsidRPr="00695741">
        <w:rPr>
          <w:rFonts w:asciiTheme="minorHAnsi" w:hAnsiTheme="minorHAnsi" w:cstheme="minorHAnsi"/>
          <w:sz w:val="22"/>
          <w:szCs w:val="22"/>
        </w:rPr>
        <w:t>Federal and state laws have addressed religious discrimination, accommodation and inclusion in public universities and colleges for decades. More recently, private higher education is embracing their own policies that enable students to participate fully in university life while also fully expressing their religious traditions.</w:t>
      </w:r>
    </w:p>
    <w:p w14:paraId="160BE405" w14:textId="77777777" w:rsidR="007155CC" w:rsidRPr="00695741" w:rsidRDefault="007155CC" w:rsidP="007155CC">
      <w:pPr>
        <w:pStyle w:val="BodyText"/>
        <w:spacing w:before="11"/>
        <w:rPr>
          <w:rFonts w:asciiTheme="minorHAnsi" w:hAnsiTheme="minorHAnsi" w:cstheme="minorHAnsi"/>
          <w:sz w:val="22"/>
          <w:szCs w:val="22"/>
        </w:rPr>
      </w:pPr>
    </w:p>
    <w:p w14:paraId="61376436" w14:textId="77777777" w:rsidR="007155CC" w:rsidRPr="00695741" w:rsidRDefault="007155CC" w:rsidP="007155CC">
      <w:pPr>
        <w:pStyle w:val="BodyText"/>
        <w:ind w:right="101"/>
        <w:jc w:val="both"/>
        <w:rPr>
          <w:rFonts w:asciiTheme="minorHAnsi" w:hAnsiTheme="minorHAnsi" w:cstheme="minorHAnsi"/>
          <w:sz w:val="22"/>
          <w:szCs w:val="22"/>
        </w:rPr>
      </w:pPr>
      <w:r w:rsidRPr="00695741">
        <w:rPr>
          <w:rFonts w:asciiTheme="minorHAnsi" w:hAnsiTheme="minorHAnsi" w:cstheme="minorHAnsi"/>
          <w:sz w:val="22"/>
          <w:szCs w:val="22"/>
        </w:rPr>
        <w:t>Currently at TCU, students, particularly those in underrepresented communities, wishing to observe their religious holiday make arrangements individually on a case by case basis with faculty with mixed success. Other times they chose to be absent with a possible penalty. As these approaches lack equity, we have both the opportunity and the responsibility to create an environment where students from all religious backgrounds can thrive.</w:t>
      </w:r>
    </w:p>
    <w:p w14:paraId="250C6800" w14:textId="77777777" w:rsidR="007155CC" w:rsidRPr="00695741" w:rsidRDefault="007155CC" w:rsidP="007155CC">
      <w:pPr>
        <w:pStyle w:val="BodyText"/>
        <w:rPr>
          <w:rFonts w:asciiTheme="minorHAnsi" w:hAnsiTheme="minorHAnsi" w:cstheme="minorHAnsi"/>
          <w:sz w:val="22"/>
          <w:szCs w:val="22"/>
        </w:rPr>
      </w:pPr>
    </w:p>
    <w:p w14:paraId="67FE8F8E" w14:textId="77777777" w:rsidR="007155CC" w:rsidRPr="00695741" w:rsidRDefault="007155CC" w:rsidP="007155CC">
      <w:pPr>
        <w:pStyle w:val="BodyText"/>
        <w:ind w:right="204"/>
        <w:rPr>
          <w:rFonts w:asciiTheme="minorHAnsi" w:hAnsiTheme="minorHAnsi" w:cstheme="minorHAnsi"/>
          <w:sz w:val="22"/>
          <w:szCs w:val="22"/>
        </w:rPr>
      </w:pPr>
      <w:r w:rsidRPr="00695741">
        <w:rPr>
          <w:rFonts w:asciiTheme="minorHAnsi" w:hAnsiTheme="minorHAnsi" w:cstheme="minorHAnsi"/>
          <w:sz w:val="22"/>
          <w:szCs w:val="22"/>
        </w:rPr>
        <w:t>In the past three years, The Office of Religious and Spiritual Life, along with support from students in Hillel, the Muslim Student Association, the Religious Advisory Council and Student Government Association have researched, developed and revised the proposed policy. More recently, collaboration and support from the Provost’s Office and the Office of Diversity, Equity and Inclusion have moved the process forward significantly.</w:t>
      </w:r>
    </w:p>
    <w:p w14:paraId="2BD62656" w14:textId="77777777" w:rsidR="007155CC" w:rsidRPr="00695741" w:rsidRDefault="007155CC" w:rsidP="007155CC">
      <w:pPr>
        <w:pStyle w:val="BodyText"/>
        <w:spacing w:before="1"/>
        <w:rPr>
          <w:rFonts w:asciiTheme="minorHAnsi" w:hAnsiTheme="minorHAnsi" w:cstheme="minorHAnsi"/>
          <w:sz w:val="22"/>
          <w:szCs w:val="22"/>
        </w:rPr>
      </w:pPr>
    </w:p>
    <w:p w14:paraId="51896C5C" w14:textId="77777777" w:rsidR="007155CC" w:rsidRPr="00695741" w:rsidRDefault="007155CC" w:rsidP="007155CC">
      <w:pPr>
        <w:pStyle w:val="Heading1"/>
        <w:jc w:val="both"/>
        <w:rPr>
          <w:rFonts w:asciiTheme="minorHAnsi" w:hAnsiTheme="minorHAnsi" w:cstheme="minorHAnsi"/>
          <w:sz w:val="22"/>
          <w:szCs w:val="22"/>
        </w:rPr>
      </w:pPr>
      <w:r w:rsidRPr="00695741">
        <w:rPr>
          <w:rFonts w:asciiTheme="minorHAnsi" w:hAnsiTheme="minorHAnsi" w:cstheme="minorHAnsi"/>
          <w:sz w:val="22"/>
          <w:szCs w:val="22"/>
        </w:rPr>
        <w:t>The Goal</w:t>
      </w:r>
    </w:p>
    <w:p w14:paraId="200EEB54" w14:textId="77777777" w:rsidR="007155CC" w:rsidRPr="00695741" w:rsidRDefault="007155CC" w:rsidP="007155CC">
      <w:pPr>
        <w:pStyle w:val="BodyText"/>
        <w:spacing w:before="93" w:line="237" w:lineRule="auto"/>
        <w:ind w:right="94"/>
        <w:rPr>
          <w:rFonts w:asciiTheme="minorHAnsi" w:hAnsiTheme="minorHAnsi" w:cstheme="minorHAnsi"/>
          <w:sz w:val="22"/>
          <w:szCs w:val="22"/>
        </w:rPr>
      </w:pPr>
      <w:r w:rsidRPr="00695741">
        <w:rPr>
          <w:rFonts w:asciiTheme="minorHAnsi" w:hAnsiTheme="minorHAnsi" w:cstheme="minorHAnsi"/>
          <w:sz w:val="22"/>
          <w:szCs w:val="22"/>
        </w:rPr>
        <w:t>The goal is for the university to implement a simple, accessible policy that supports the religious practice of all students, while simultaneously honoring the academic mission of the university. This fits well with our university priorities and strategic plans as “TCU strives to be a home for a diverse range of perspectives and backgrounds essential to rigorous learning” and we seek “to promote a community where individuals feel welcomed, respected, valued and supported…”.</w:t>
      </w:r>
      <w:hyperlink w:anchor="_bookmark0" w:history="1">
        <w:r w:rsidRPr="00695741">
          <w:rPr>
            <w:rFonts w:asciiTheme="minorHAnsi" w:hAnsiTheme="minorHAnsi" w:cstheme="minorHAnsi"/>
            <w:position w:val="7"/>
            <w:sz w:val="22"/>
            <w:szCs w:val="22"/>
          </w:rPr>
          <w:t>1</w:t>
        </w:r>
      </w:hyperlink>
    </w:p>
    <w:p w14:paraId="7766AA30" w14:textId="77777777" w:rsidR="007155CC" w:rsidRPr="00695741" w:rsidRDefault="007155CC" w:rsidP="007155CC">
      <w:pPr>
        <w:pStyle w:val="BodyText"/>
        <w:rPr>
          <w:rFonts w:asciiTheme="minorHAnsi" w:hAnsiTheme="minorHAnsi" w:cstheme="minorHAnsi"/>
          <w:sz w:val="22"/>
          <w:szCs w:val="22"/>
        </w:rPr>
      </w:pPr>
      <w:r w:rsidRPr="00695741">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4559BB8C" wp14:editId="1E7CC1C1">
                <wp:simplePos x="0" y="0"/>
                <wp:positionH relativeFrom="page">
                  <wp:posOffset>1143000</wp:posOffset>
                </wp:positionH>
                <wp:positionV relativeFrom="paragraph">
                  <wp:posOffset>109220</wp:posOffset>
                </wp:positionV>
                <wp:extent cx="1828800" cy="1270"/>
                <wp:effectExtent l="9525" t="9525" r="9525" b="825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F5DDC63" id="Freeform: Shape 1" o:spid="_x0000_s1026" style="position:absolute;margin-left:90pt;margin-top:8.6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" path="m,l2880,e" filled="f" strokeweight=".21131mm">
                <v:path arrowok="t" o:connecttype="custom" o:connectlocs="0,0;1828800,0" o:connectangles="0,0"/>
                <w10:wrap type="topAndBottom" anchorx="page"/>
              </v:shape>
            </w:pict>
          </mc:Fallback>
        </mc:AlternateContent>
      </w:r>
    </w:p>
    <w:p w14:paraId="389BE7E0" w14:textId="5089AABC" w:rsidR="007155CC" w:rsidRDefault="007155CC" w:rsidP="007155CC">
      <w:pPr>
        <w:spacing w:before="67"/>
        <w:rPr>
          <w:rFonts w:cstheme="minorHAnsi"/>
        </w:rPr>
      </w:pPr>
      <w:bookmarkStart w:id="0" w:name="_bookmark0"/>
      <w:bookmarkEnd w:id="0"/>
      <w:r w:rsidRPr="00695741">
        <w:rPr>
          <w:rFonts w:cstheme="minorHAnsi"/>
          <w:position w:val="6"/>
        </w:rPr>
        <w:t>1</w:t>
      </w:r>
      <w:r w:rsidRPr="00695741">
        <w:rPr>
          <w:rFonts w:cstheme="minorHAnsi"/>
        </w:rPr>
        <w:t xml:space="preserve">“Vision &amp; Mission.” </w:t>
      </w:r>
      <w:r w:rsidRPr="00695741">
        <w:rPr>
          <w:rFonts w:cstheme="minorHAnsi"/>
          <w:i/>
        </w:rPr>
        <w:t>Diversity Equity Inclusion</w:t>
      </w:r>
      <w:r w:rsidRPr="00695741">
        <w:rPr>
          <w:rFonts w:cstheme="minorHAnsi"/>
        </w:rPr>
        <w:t xml:space="preserve">, </w:t>
      </w:r>
      <w:hyperlink r:id="rId5">
        <w:r w:rsidRPr="00695741">
          <w:rPr>
            <w:rFonts w:cstheme="minorHAnsi"/>
            <w:color w:val="0000FF"/>
            <w:u w:val="single" w:color="0000FF"/>
          </w:rPr>
          <w:t>www.inclusion.tcu.edu/about/vision-mission/</w:t>
        </w:r>
        <w:r w:rsidRPr="00695741">
          <w:rPr>
            <w:rFonts w:cstheme="minorHAnsi"/>
          </w:rPr>
          <w:t>.</w:t>
        </w:r>
      </w:hyperlink>
    </w:p>
    <w:p w14:paraId="40312E5C" w14:textId="77777777" w:rsidR="00E3529C" w:rsidRDefault="00E3529C" w:rsidP="00E3529C">
      <w:pPr>
        <w:rPr>
          <w:rFonts w:cstheme="minorHAnsi"/>
          <w:b/>
          <w:color w:val="0070C0"/>
        </w:rPr>
      </w:pPr>
    </w:p>
    <w:p w14:paraId="44F152D3" w14:textId="1820DFAA" w:rsidR="00E3529C" w:rsidRPr="0074490C" w:rsidRDefault="00E3529C" w:rsidP="00E3529C">
      <w:pPr>
        <w:rPr>
          <w:rFonts w:cstheme="minorHAnsi"/>
          <w:color w:val="0070C0"/>
        </w:rPr>
      </w:pPr>
      <w:r w:rsidRPr="0074490C">
        <w:rPr>
          <w:rFonts w:cstheme="minorHAnsi"/>
          <w:b/>
          <w:color w:val="0070C0"/>
        </w:rPr>
        <w:t>Motion</w:t>
      </w:r>
      <w:r w:rsidRPr="0074490C">
        <w:rPr>
          <w:rFonts w:cstheme="minorHAnsi"/>
          <w:color w:val="0070C0"/>
        </w:rPr>
        <w:t xml:space="preserve"> (Final 30 April 2020)</w:t>
      </w:r>
    </w:p>
    <w:p w14:paraId="790350A6" w14:textId="77777777" w:rsidR="00E3529C" w:rsidRPr="00695741" w:rsidRDefault="00E3529C" w:rsidP="00E3529C">
      <w:pPr>
        <w:rPr>
          <w:rFonts w:cstheme="minorHAnsi"/>
          <w:b/>
          <w:bCs/>
        </w:rPr>
      </w:pPr>
      <w:r w:rsidRPr="00695741">
        <w:rPr>
          <w:rFonts w:cstheme="minorHAnsi"/>
        </w:rPr>
        <w:t>The Governance Committee moves to revise the final exam policy in the Faculty-Staff Handbook to</w:t>
      </w:r>
    </w:p>
    <w:p w14:paraId="0F39F502" w14:textId="77777777" w:rsidR="00E3529C" w:rsidRPr="00695741" w:rsidRDefault="00E3529C" w:rsidP="00E3529C">
      <w:pPr>
        <w:pStyle w:val="Default"/>
        <w:rPr>
          <w:rFonts w:asciiTheme="minorHAnsi" w:hAnsiTheme="minorHAnsi" w:cstheme="minorHAnsi"/>
          <w:sz w:val="22"/>
          <w:szCs w:val="22"/>
        </w:rPr>
      </w:pPr>
      <w:r w:rsidRPr="00695741">
        <w:rPr>
          <w:rFonts w:asciiTheme="minorHAnsi" w:hAnsiTheme="minorHAnsi" w:cstheme="minorHAnsi"/>
          <w:b/>
          <w:bCs/>
          <w:sz w:val="22"/>
          <w:szCs w:val="22"/>
        </w:rPr>
        <w:t xml:space="preserve">Rescheduling of Finals: </w:t>
      </w:r>
      <w:r w:rsidRPr="00695741">
        <w:rPr>
          <w:rFonts w:asciiTheme="minorHAnsi" w:hAnsiTheme="minorHAnsi" w:cstheme="minorHAnsi"/>
          <w:sz w:val="22"/>
          <w:szCs w:val="22"/>
        </w:rPr>
        <w:t>There are three permissible reasons for rescheduling finals.  In all cases, rescheduling arrangements must be made no later than one week prior to the last day of classes.</w:t>
      </w:r>
    </w:p>
    <w:p w14:paraId="3D78F537" w14:textId="77777777" w:rsidR="00E3529C" w:rsidRPr="00695741" w:rsidRDefault="00E3529C" w:rsidP="00E3529C">
      <w:pPr>
        <w:pStyle w:val="Default"/>
        <w:numPr>
          <w:ilvl w:val="0"/>
          <w:numId w:val="4"/>
        </w:numPr>
        <w:ind w:left="540"/>
        <w:rPr>
          <w:rFonts w:asciiTheme="minorHAnsi" w:hAnsiTheme="minorHAnsi" w:cstheme="minorHAnsi"/>
          <w:sz w:val="22"/>
          <w:szCs w:val="22"/>
        </w:rPr>
      </w:pPr>
      <w:r w:rsidRPr="00695741">
        <w:rPr>
          <w:rFonts w:asciiTheme="minorHAnsi" w:hAnsiTheme="minorHAnsi" w:cstheme="minorHAnsi"/>
          <w:b/>
          <w:sz w:val="22"/>
          <w:szCs w:val="22"/>
        </w:rPr>
        <w:t>Graduating seniors</w:t>
      </w:r>
      <w:r w:rsidRPr="00695741">
        <w:rPr>
          <w:rFonts w:asciiTheme="minorHAnsi" w:hAnsiTheme="minorHAnsi" w:cstheme="minorHAnsi"/>
          <w:sz w:val="22"/>
          <w:szCs w:val="22"/>
        </w:rPr>
        <w:t xml:space="preserve">-Because grades for graduating students must be submitted to the Registrar at least 72 hours prior to Commencement, graduating students who have exams beginning at 3:00 </w:t>
      </w:r>
      <w:r w:rsidRPr="00695741">
        <w:rPr>
          <w:rFonts w:asciiTheme="minorHAnsi" w:hAnsiTheme="minorHAnsi" w:cstheme="minorHAnsi"/>
          <w:sz w:val="22"/>
          <w:szCs w:val="22"/>
        </w:rPr>
        <w:lastRenderedPageBreak/>
        <w:t>p.m. or later on the Wednesday of Finals Week must reschedule to an earlier time. Study days and the Saturday prior to Finals Week are available for faculty to reschedule graduating students.</w:t>
      </w:r>
    </w:p>
    <w:p w14:paraId="64640E41" w14:textId="77777777" w:rsidR="00E3529C" w:rsidRPr="00695741" w:rsidRDefault="00E3529C" w:rsidP="00E3529C">
      <w:pPr>
        <w:pStyle w:val="Default"/>
        <w:numPr>
          <w:ilvl w:val="0"/>
          <w:numId w:val="4"/>
        </w:numPr>
        <w:ind w:left="540"/>
        <w:rPr>
          <w:rFonts w:asciiTheme="minorHAnsi" w:hAnsiTheme="minorHAnsi" w:cstheme="minorHAnsi"/>
          <w:b/>
          <w:sz w:val="22"/>
          <w:szCs w:val="22"/>
        </w:rPr>
      </w:pPr>
      <w:r w:rsidRPr="00695741">
        <w:rPr>
          <w:rFonts w:asciiTheme="minorHAnsi" w:hAnsiTheme="minorHAnsi" w:cstheme="minorHAnsi"/>
          <w:b/>
          <w:sz w:val="22"/>
          <w:szCs w:val="22"/>
        </w:rPr>
        <w:t>Students with more than two finals in a 24-hour period-</w:t>
      </w:r>
      <w:r w:rsidRPr="00695741">
        <w:rPr>
          <w:rFonts w:asciiTheme="minorHAnsi" w:hAnsiTheme="minorHAnsi" w:cstheme="minorHAnsi"/>
          <w:sz w:val="22"/>
          <w:szCs w:val="22"/>
        </w:rPr>
        <w:t xml:space="preserve">If the published final examination schedule would require a student to take more than two final examinations in a 24-hour period, the student can arrange to take one of the exams at another time. The student shall determine which final examination is to be rescheduled. The rescheduled exam shall be given at a time mutually agreeable to the student and the faculty member. A final exam may not be rescheduled so as to violate the 24-hour rule. Rescheduling arrangements must be made one week prior to the last day of classes. Unless the student is graduating, the exam must be taken during final examination week. </w:t>
      </w:r>
    </w:p>
    <w:p w14:paraId="6D83B432" w14:textId="77777777" w:rsidR="00E3529C" w:rsidRPr="00695741" w:rsidRDefault="00E3529C" w:rsidP="00E3529C">
      <w:pPr>
        <w:pStyle w:val="Default"/>
        <w:numPr>
          <w:ilvl w:val="0"/>
          <w:numId w:val="4"/>
        </w:numPr>
        <w:ind w:left="540"/>
        <w:rPr>
          <w:rFonts w:asciiTheme="minorHAnsi" w:hAnsiTheme="minorHAnsi" w:cstheme="minorHAnsi"/>
          <w:b/>
          <w:sz w:val="22"/>
          <w:szCs w:val="22"/>
        </w:rPr>
      </w:pPr>
      <w:r w:rsidRPr="00695741">
        <w:rPr>
          <w:rFonts w:asciiTheme="minorHAnsi" w:hAnsiTheme="minorHAnsi" w:cstheme="minorHAnsi"/>
          <w:b/>
          <w:sz w:val="22"/>
          <w:szCs w:val="22"/>
        </w:rPr>
        <w:t>Students for whom a final examination conflicts with a major religious holiday or custom-</w:t>
      </w:r>
      <w:r w:rsidRPr="00695741">
        <w:rPr>
          <w:rFonts w:asciiTheme="minorHAnsi" w:hAnsiTheme="minorHAnsi" w:cstheme="minorHAnsi"/>
          <w:sz w:val="22"/>
          <w:szCs w:val="22"/>
        </w:rPr>
        <w:t xml:space="preserve"> Students who, in the first two weeks of the semester, notified faculty or staff of their intention to be absent from class or an event, as required in the TCU Religious Holidays Policy, may reschedule a final examination if it compromises their ability to fully celebrate a religious holiday.  For example</w:t>
      </w:r>
      <w:r w:rsidRPr="00695741">
        <w:rPr>
          <w:rFonts w:asciiTheme="minorHAnsi" w:hAnsiTheme="minorHAnsi" w:cstheme="minorHAnsi"/>
          <w:color w:val="000000" w:themeColor="text1"/>
          <w:sz w:val="22"/>
          <w:szCs w:val="22"/>
        </w:rPr>
        <w:t xml:space="preserve">, students may </w:t>
      </w:r>
      <w:r w:rsidRPr="00695741">
        <w:rPr>
          <w:rFonts w:asciiTheme="minorHAnsi" w:eastAsia="Times New Roman" w:hAnsiTheme="minorHAnsi" w:cstheme="minorHAnsi"/>
          <w:color w:val="000000" w:themeColor="text1"/>
          <w:sz w:val="22"/>
          <w:szCs w:val="22"/>
        </w:rPr>
        <w:t>reschedule late afternoon or evening examinations to that morning or at an alternative time so that they are not being tested after fasting for many daylight hours.  A</w:t>
      </w:r>
      <w:r w:rsidRPr="00695741">
        <w:rPr>
          <w:rFonts w:asciiTheme="minorHAnsi" w:hAnsiTheme="minorHAnsi" w:cstheme="minorHAnsi"/>
          <w:sz w:val="22"/>
          <w:szCs w:val="22"/>
        </w:rPr>
        <w:t xml:space="preserve"> final exam may not be rescheduled so as to violate the 24-hour rule.</w:t>
      </w:r>
    </w:p>
    <w:p w14:paraId="70A4C12C" w14:textId="77777777" w:rsidR="00E3529C" w:rsidRPr="00695741" w:rsidRDefault="00E3529C" w:rsidP="00E3529C">
      <w:pPr>
        <w:pStyle w:val="Default"/>
        <w:rPr>
          <w:rFonts w:asciiTheme="minorHAnsi" w:hAnsiTheme="minorHAnsi" w:cstheme="minorHAnsi"/>
          <w:sz w:val="22"/>
          <w:szCs w:val="22"/>
        </w:rPr>
      </w:pPr>
    </w:p>
    <w:p w14:paraId="7B939B1C" w14:textId="77777777" w:rsidR="00E3529C" w:rsidRPr="00695741" w:rsidRDefault="00E3529C" w:rsidP="00E3529C">
      <w:pPr>
        <w:pStyle w:val="Default"/>
        <w:rPr>
          <w:rFonts w:asciiTheme="minorHAnsi" w:hAnsiTheme="minorHAnsi" w:cstheme="minorHAnsi"/>
          <w:sz w:val="22"/>
          <w:szCs w:val="22"/>
        </w:rPr>
      </w:pPr>
      <w:r w:rsidRPr="00695741">
        <w:rPr>
          <w:rFonts w:asciiTheme="minorHAnsi" w:hAnsiTheme="minorHAnsi" w:cstheme="minorHAnsi"/>
          <w:b/>
          <w:sz w:val="22"/>
          <w:szCs w:val="22"/>
        </w:rPr>
        <w:t>Rationale:</w:t>
      </w:r>
      <w:r w:rsidRPr="00695741">
        <w:rPr>
          <w:rFonts w:asciiTheme="minorHAnsi" w:hAnsiTheme="minorHAnsi" w:cstheme="minorHAnsi"/>
          <w:sz w:val="22"/>
          <w:szCs w:val="22"/>
        </w:rPr>
        <w:t xml:space="preserve"> The revised policy </w:t>
      </w:r>
    </w:p>
    <w:p w14:paraId="68B27130" w14:textId="77777777" w:rsidR="00E3529C" w:rsidRPr="00695741" w:rsidRDefault="00E3529C" w:rsidP="00E3529C">
      <w:pPr>
        <w:pStyle w:val="Default"/>
        <w:numPr>
          <w:ilvl w:val="0"/>
          <w:numId w:val="5"/>
        </w:numPr>
        <w:rPr>
          <w:rFonts w:asciiTheme="minorHAnsi" w:hAnsiTheme="minorHAnsi" w:cstheme="minorHAnsi"/>
          <w:sz w:val="22"/>
          <w:szCs w:val="22"/>
        </w:rPr>
      </w:pPr>
      <w:r w:rsidRPr="00695741">
        <w:rPr>
          <w:rFonts w:asciiTheme="minorHAnsi" w:hAnsiTheme="minorHAnsi" w:cstheme="minorHAnsi"/>
          <w:sz w:val="22"/>
          <w:szCs w:val="22"/>
        </w:rPr>
        <w:t xml:space="preserve">ensures that the final exam guidance in the Faculty Staff Handbook is congruent with the </w:t>
      </w:r>
      <w:r w:rsidRPr="00695741">
        <w:rPr>
          <w:rFonts w:asciiTheme="minorHAnsi" w:hAnsiTheme="minorHAnsi" w:cstheme="minorHAnsi"/>
          <w:i/>
          <w:sz w:val="22"/>
          <w:szCs w:val="22"/>
        </w:rPr>
        <w:t xml:space="preserve">TCU Policy for the Religious Observances and Holidays </w:t>
      </w:r>
      <w:r w:rsidRPr="00695741">
        <w:rPr>
          <w:rFonts w:asciiTheme="minorHAnsi" w:hAnsiTheme="minorHAnsi" w:cstheme="minorHAnsi"/>
          <w:sz w:val="22"/>
          <w:szCs w:val="22"/>
        </w:rPr>
        <w:t>and</w:t>
      </w:r>
    </w:p>
    <w:p w14:paraId="20AD2D8F" w14:textId="77777777" w:rsidR="00E3529C" w:rsidRPr="00695741" w:rsidRDefault="00E3529C" w:rsidP="00E3529C">
      <w:pPr>
        <w:pStyle w:val="Default"/>
        <w:numPr>
          <w:ilvl w:val="0"/>
          <w:numId w:val="5"/>
        </w:numPr>
        <w:rPr>
          <w:rFonts w:asciiTheme="minorHAnsi" w:hAnsiTheme="minorHAnsi" w:cstheme="minorHAnsi"/>
          <w:sz w:val="22"/>
          <w:szCs w:val="22"/>
        </w:rPr>
      </w:pPr>
      <w:r w:rsidRPr="00695741">
        <w:rPr>
          <w:rFonts w:asciiTheme="minorHAnsi" w:hAnsiTheme="minorHAnsi" w:cstheme="minorHAnsi"/>
          <w:sz w:val="22"/>
          <w:szCs w:val="22"/>
        </w:rPr>
        <w:t>consolidates all final exam guidance in one place</w:t>
      </w:r>
    </w:p>
    <w:p w14:paraId="2EB988BD" w14:textId="77777777" w:rsidR="00E3529C" w:rsidRPr="00695741" w:rsidRDefault="00E3529C" w:rsidP="00E3529C">
      <w:pPr>
        <w:rPr>
          <w:rFonts w:cstheme="minorHAnsi"/>
          <w:b/>
          <w:color w:val="000000"/>
        </w:rPr>
      </w:pPr>
    </w:p>
    <w:p w14:paraId="1EBF8092" w14:textId="77777777" w:rsidR="00E3529C" w:rsidRPr="00695741" w:rsidRDefault="00E3529C" w:rsidP="00E3529C">
      <w:pPr>
        <w:pStyle w:val="Default"/>
        <w:rPr>
          <w:rFonts w:asciiTheme="minorHAnsi" w:hAnsiTheme="minorHAnsi" w:cstheme="minorHAnsi"/>
          <w:b/>
          <w:sz w:val="22"/>
          <w:szCs w:val="22"/>
        </w:rPr>
      </w:pPr>
      <w:r w:rsidRPr="0074490C">
        <w:rPr>
          <w:rFonts w:asciiTheme="minorHAnsi" w:hAnsiTheme="minorHAnsi" w:cstheme="minorHAnsi"/>
          <w:b/>
          <w:color w:val="FF0000"/>
          <w:sz w:val="22"/>
          <w:szCs w:val="22"/>
        </w:rPr>
        <w:t xml:space="preserve">Current policy </w:t>
      </w:r>
      <w:r w:rsidRPr="00695741">
        <w:rPr>
          <w:rFonts w:asciiTheme="minorHAnsi" w:hAnsiTheme="minorHAnsi" w:cstheme="minorHAnsi"/>
          <w:b/>
          <w:sz w:val="22"/>
          <w:szCs w:val="22"/>
        </w:rPr>
        <w:t>f</w:t>
      </w:r>
      <w:r w:rsidRPr="00695741">
        <w:rPr>
          <w:rFonts w:asciiTheme="minorHAnsi" w:hAnsiTheme="minorHAnsi" w:cstheme="minorHAnsi"/>
          <w:b/>
          <w:bCs/>
          <w:sz w:val="22"/>
          <w:szCs w:val="22"/>
        </w:rPr>
        <w:t xml:space="preserve">rom the Faculty-Staff Handbook, pp. 78-79:  </w:t>
      </w:r>
    </w:p>
    <w:p w14:paraId="33B42693" w14:textId="77777777" w:rsidR="00E3529C" w:rsidRPr="00695741" w:rsidRDefault="00E3529C" w:rsidP="00E3529C">
      <w:pPr>
        <w:pStyle w:val="Default"/>
        <w:rPr>
          <w:rFonts w:asciiTheme="minorHAnsi" w:hAnsiTheme="minorHAnsi" w:cstheme="minorHAnsi"/>
          <w:b/>
          <w:bCs/>
          <w:sz w:val="22"/>
          <w:szCs w:val="22"/>
        </w:rPr>
      </w:pPr>
    </w:p>
    <w:p w14:paraId="21389E76" w14:textId="77777777" w:rsidR="00E3529C" w:rsidRPr="00695741" w:rsidRDefault="00E3529C" w:rsidP="00E3529C">
      <w:pPr>
        <w:autoSpaceDE w:val="0"/>
        <w:autoSpaceDN w:val="0"/>
        <w:adjustRightInd w:val="0"/>
        <w:spacing w:after="0" w:line="240" w:lineRule="auto"/>
        <w:rPr>
          <w:rFonts w:cstheme="minorHAnsi"/>
          <w:color w:val="000000"/>
        </w:rPr>
      </w:pPr>
      <w:r w:rsidRPr="00695741">
        <w:rPr>
          <w:rFonts w:cstheme="minorHAnsi"/>
          <w:b/>
          <w:bCs/>
          <w:color w:val="000000"/>
        </w:rPr>
        <w:t xml:space="preserve">Rescheduling of Finals: </w:t>
      </w:r>
      <w:r w:rsidRPr="00695741">
        <w:rPr>
          <w:rFonts w:cstheme="minorHAnsi"/>
          <w:color w:val="000000"/>
        </w:rPr>
        <w:t xml:space="preserve">If the published final examination schedule would require a student to take more than two final examinations in a 24-hour period, the student can arrange to take one of the exams at another time. The student shall determine which final examination is to be rescheduled. The rescheduled exam shall be given at a time mutually agreeable to the student and the faculty member. A final exam may not be rescheduled so as to violate the 24-hour rule. Rescheduling arrangements must be made one week prior to the last day of classes. Unless the student is graduating, the exam must be taken during final examination week. </w:t>
      </w:r>
    </w:p>
    <w:p w14:paraId="1423CC2B" w14:textId="77777777" w:rsidR="00E3529C" w:rsidRPr="00695741" w:rsidRDefault="00E3529C" w:rsidP="00E3529C">
      <w:pPr>
        <w:autoSpaceDE w:val="0"/>
        <w:autoSpaceDN w:val="0"/>
        <w:adjustRightInd w:val="0"/>
        <w:spacing w:after="0" w:line="240" w:lineRule="auto"/>
        <w:rPr>
          <w:rFonts w:cstheme="minorHAnsi"/>
          <w:b/>
          <w:bCs/>
          <w:color w:val="000000"/>
        </w:rPr>
      </w:pPr>
    </w:p>
    <w:p w14:paraId="3C5C430C" w14:textId="77777777" w:rsidR="00E3529C" w:rsidRPr="00695741" w:rsidRDefault="00E3529C" w:rsidP="00E3529C">
      <w:pPr>
        <w:autoSpaceDE w:val="0"/>
        <w:autoSpaceDN w:val="0"/>
        <w:adjustRightInd w:val="0"/>
        <w:spacing w:after="0" w:line="240" w:lineRule="auto"/>
        <w:rPr>
          <w:rFonts w:cstheme="minorHAnsi"/>
          <w:b/>
          <w:bCs/>
          <w:i/>
          <w:iCs/>
        </w:rPr>
      </w:pPr>
      <w:r w:rsidRPr="00695741">
        <w:rPr>
          <w:rFonts w:cstheme="minorHAnsi"/>
          <w:b/>
          <w:bCs/>
          <w:color w:val="000000"/>
        </w:rPr>
        <w:t xml:space="preserve">Rescheduling of final </w:t>
      </w:r>
      <w:r w:rsidRPr="00695741">
        <w:rPr>
          <w:rFonts w:cstheme="minorHAnsi"/>
          <w:b/>
          <w:bCs/>
        </w:rPr>
        <w:t xml:space="preserve">examinations is permitted only for graduating seniors and to meet the 24-hour rule. </w:t>
      </w:r>
      <w:r>
        <w:rPr>
          <w:rFonts w:cstheme="minorHAnsi"/>
          <w:b/>
          <w:bCs/>
        </w:rPr>
        <w:t xml:space="preserve"> </w:t>
      </w:r>
    </w:p>
    <w:p w14:paraId="4C67CB5B" w14:textId="3A84EA64" w:rsidR="00E3529C" w:rsidRPr="00695741" w:rsidRDefault="00E3529C" w:rsidP="00E3529C">
      <w:pPr>
        <w:spacing w:before="67"/>
        <w:rPr>
          <w:rFonts w:cstheme="minorHAnsi"/>
          <w:b/>
        </w:rPr>
      </w:pPr>
      <w:r w:rsidRPr="00695741">
        <w:rPr>
          <w:rFonts w:cstheme="minorHAnsi"/>
          <w:b/>
          <w:bCs/>
          <w:i/>
          <w:iCs/>
        </w:rPr>
        <w:t xml:space="preserve">Exception to Final Examination and Study Day Policies for Graduating Students. </w:t>
      </w:r>
      <w:r w:rsidRPr="00695741">
        <w:rPr>
          <w:rFonts w:cstheme="minorHAnsi"/>
        </w:rPr>
        <w:t>As grades for graduating students must be submitted to the Registrar at least 72 hours prior to Commencement, graduating students who have exams beginning at 3:00 p.m. or later on the Wednesday of Finals Week must reschedule to an earlier time. Study days and the Saturday prior to Finals Week are available for faculty to reschedule graduating</w:t>
      </w:r>
      <w:r w:rsidRPr="00695741">
        <w:rPr>
          <w:rFonts w:cs="Arial"/>
        </w:rPr>
        <w:t xml:space="preserve"> students.</w:t>
      </w:r>
    </w:p>
    <w:p w14:paraId="501B60B4" w14:textId="77777777" w:rsidR="007155CC" w:rsidRDefault="007155CC" w:rsidP="007155CC">
      <w:pPr>
        <w:rPr>
          <w:noProof/>
        </w:rPr>
      </w:pPr>
    </w:p>
    <w:p w14:paraId="4BEA9FA9" w14:textId="77777777" w:rsidR="002C0238" w:rsidRDefault="00E3529C"/>
    <w:sectPr w:rsidR="002C0238" w:rsidSect="0041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7F4"/>
    <w:multiLevelType w:val="hybridMultilevel"/>
    <w:tmpl w:val="207C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54948"/>
    <w:multiLevelType w:val="hybridMultilevel"/>
    <w:tmpl w:val="0C3C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E31E9"/>
    <w:multiLevelType w:val="hybridMultilevel"/>
    <w:tmpl w:val="CB2627B8"/>
    <w:lvl w:ilvl="0" w:tplc="2256C860">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en-US"/>
      </w:rPr>
    </w:lvl>
    <w:lvl w:ilvl="1" w:tplc="967E0594">
      <w:numFmt w:val="bullet"/>
      <w:lvlText w:val="•"/>
      <w:lvlJc w:val="left"/>
      <w:pPr>
        <w:ind w:left="1370" w:hanging="360"/>
      </w:pPr>
      <w:rPr>
        <w:rFonts w:hint="default"/>
        <w:lang w:val="en-US" w:eastAsia="en-US" w:bidi="en-US"/>
      </w:rPr>
    </w:lvl>
    <w:lvl w:ilvl="2" w:tplc="59B60AFC">
      <w:numFmt w:val="bullet"/>
      <w:lvlText w:val="•"/>
      <w:lvlJc w:val="left"/>
      <w:pPr>
        <w:ind w:left="2260" w:hanging="360"/>
      </w:pPr>
      <w:rPr>
        <w:rFonts w:hint="default"/>
        <w:lang w:val="en-US" w:eastAsia="en-US" w:bidi="en-US"/>
      </w:rPr>
    </w:lvl>
    <w:lvl w:ilvl="3" w:tplc="B9E87D10">
      <w:numFmt w:val="bullet"/>
      <w:lvlText w:val="•"/>
      <w:lvlJc w:val="left"/>
      <w:pPr>
        <w:ind w:left="3150" w:hanging="360"/>
      </w:pPr>
      <w:rPr>
        <w:rFonts w:hint="default"/>
        <w:lang w:val="en-US" w:eastAsia="en-US" w:bidi="en-US"/>
      </w:rPr>
    </w:lvl>
    <w:lvl w:ilvl="4" w:tplc="6B5E5A2C">
      <w:numFmt w:val="bullet"/>
      <w:lvlText w:val="•"/>
      <w:lvlJc w:val="left"/>
      <w:pPr>
        <w:ind w:left="4040" w:hanging="360"/>
      </w:pPr>
      <w:rPr>
        <w:rFonts w:hint="default"/>
        <w:lang w:val="en-US" w:eastAsia="en-US" w:bidi="en-US"/>
      </w:rPr>
    </w:lvl>
    <w:lvl w:ilvl="5" w:tplc="C1A6A17E">
      <w:numFmt w:val="bullet"/>
      <w:lvlText w:val="•"/>
      <w:lvlJc w:val="left"/>
      <w:pPr>
        <w:ind w:left="4930" w:hanging="360"/>
      </w:pPr>
      <w:rPr>
        <w:rFonts w:hint="default"/>
        <w:lang w:val="en-US" w:eastAsia="en-US" w:bidi="en-US"/>
      </w:rPr>
    </w:lvl>
    <w:lvl w:ilvl="6" w:tplc="FB2ECB2E">
      <w:numFmt w:val="bullet"/>
      <w:lvlText w:val="•"/>
      <w:lvlJc w:val="left"/>
      <w:pPr>
        <w:ind w:left="5820" w:hanging="360"/>
      </w:pPr>
      <w:rPr>
        <w:rFonts w:hint="default"/>
        <w:lang w:val="en-US" w:eastAsia="en-US" w:bidi="en-US"/>
      </w:rPr>
    </w:lvl>
    <w:lvl w:ilvl="7" w:tplc="3D1497D2">
      <w:numFmt w:val="bullet"/>
      <w:lvlText w:val="•"/>
      <w:lvlJc w:val="left"/>
      <w:pPr>
        <w:ind w:left="6710" w:hanging="360"/>
      </w:pPr>
      <w:rPr>
        <w:rFonts w:hint="default"/>
        <w:lang w:val="en-US" w:eastAsia="en-US" w:bidi="en-US"/>
      </w:rPr>
    </w:lvl>
    <w:lvl w:ilvl="8" w:tplc="C898E640">
      <w:numFmt w:val="bullet"/>
      <w:lvlText w:val="•"/>
      <w:lvlJc w:val="left"/>
      <w:pPr>
        <w:ind w:left="7600" w:hanging="360"/>
      </w:pPr>
      <w:rPr>
        <w:rFonts w:hint="default"/>
        <w:lang w:val="en-US" w:eastAsia="en-US" w:bidi="en-US"/>
      </w:rPr>
    </w:lvl>
  </w:abstractNum>
  <w:abstractNum w:abstractNumId="3" w15:restartNumberingAfterBreak="0">
    <w:nsid w:val="5B9643BB"/>
    <w:multiLevelType w:val="hybridMultilevel"/>
    <w:tmpl w:val="31CCBE48"/>
    <w:lvl w:ilvl="0" w:tplc="45BA7D2E">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en-US"/>
      </w:rPr>
    </w:lvl>
    <w:lvl w:ilvl="1" w:tplc="C1A0C24E">
      <w:numFmt w:val="bullet"/>
      <w:lvlText w:val="•"/>
      <w:lvlJc w:val="left"/>
      <w:pPr>
        <w:ind w:left="1370" w:hanging="360"/>
      </w:pPr>
      <w:rPr>
        <w:rFonts w:hint="default"/>
        <w:lang w:val="en-US" w:eastAsia="en-US" w:bidi="en-US"/>
      </w:rPr>
    </w:lvl>
    <w:lvl w:ilvl="2" w:tplc="9C342042">
      <w:numFmt w:val="bullet"/>
      <w:lvlText w:val="•"/>
      <w:lvlJc w:val="left"/>
      <w:pPr>
        <w:ind w:left="2260" w:hanging="360"/>
      </w:pPr>
      <w:rPr>
        <w:rFonts w:hint="default"/>
        <w:lang w:val="en-US" w:eastAsia="en-US" w:bidi="en-US"/>
      </w:rPr>
    </w:lvl>
    <w:lvl w:ilvl="3" w:tplc="F5F69568">
      <w:numFmt w:val="bullet"/>
      <w:lvlText w:val="•"/>
      <w:lvlJc w:val="left"/>
      <w:pPr>
        <w:ind w:left="3150" w:hanging="360"/>
      </w:pPr>
      <w:rPr>
        <w:rFonts w:hint="default"/>
        <w:lang w:val="en-US" w:eastAsia="en-US" w:bidi="en-US"/>
      </w:rPr>
    </w:lvl>
    <w:lvl w:ilvl="4" w:tplc="5328A740">
      <w:numFmt w:val="bullet"/>
      <w:lvlText w:val="•"/>
      <w:lvlJc w:val="left"/>
      <w:pPr>
        <w:ind w:left="4040" w:hanging="360"/>
      </w:pPr>
      <w:rPr>
        <w:rFonts w:hint="default"/>
        <w:lang w:val="en-US" w:eastAsia="en-US" w:bidi="en-US"/>
      </w:rPr>
    </w:lvl>
    <w:lvl w:ilvl="5" w:tplc="BDF010E2">
      <w:numFmt w:val="bullet"/>
      <w:lvlText w:val="•"/>
      <w:lvlJc w:val="left"/>
      <w:pPr>
        <w:ind w:left="4930" w:hanging="360"/>
      </w:pPr>
      <w:rPr>
        <w:rFonts w:hint="default"/>
        <w:lang w:val="en-US" w:eastAsia="en-US" w:bidi="en-US"/>
      </w:rPr>
    </w:lvl>
    <w:lvl w:ilvl="6" w:tplc="1292EC4E">
      <w:numFmt w:val="bullet"/>
      <w:lvlText w:val="•"/>
      <w:lvlJc w:val="left"/>
      <w:pPr>
        <w:ind w:left="5820" w:hanging="360"/>
      </w:pPr>
      <w:rPr>
        <w:rFonts w:hint="default"/>
        <w:lang w:val="en-US" w:eastAsia="en-US" w:bidi="en-US"/>
      </w:rPr>
    </w:lvl>
    <w:lvl w:ilvl="7" w:tplc="203ADC1A">
      <w:numFmt w:val="bullet"/>
      <w:lvlText w:val="•"/>
      <w:lvlJc w:val="left"/>
      <w:pPr>
        <w:ind w:left="6710" w:hanging="360"/>
      </w:pPr>
      <w:rPr>
        <w:rFonts w:hint="default"/>
        <w:lang w:val="en-US" w:eastAsia="en-US" w:bidi="en-US"/>
      </w:rPr>
    </w:lvl>
    <w:lvl w:ilvl="8" w:tplc="8A1CE102">
      <w:numFmt w:val="bullet"/>
      <w:lvlText w:val="•"/>
      <w:lvlJc w:val="left"/>
      <w:pPr>
        <w:ind w:left="7600" w:hanging="360"/>
      </w:pPr>
      <w:rPr>
        <w:rFonts w:hint="default"/>
        <w:lang w:val="en-US" w:eastAsia="en-US" w:bidi="en-US"/>
      </w:rPr>
    </w:lvl>
  </w:abstractNum>
  <w:abstractNum w:abstractNumId="4" w15:restartNumberingAfterBreak="0">
    <w:nsid w:val="6B0C7F29"/>
    <w:multiLevelType w:val="hybridMultilevel"/>
    <w:tmpl w:val="34EE062E"/>
    <w:lvl w:ilvl="0" w:tplc="4DD8CFEC">
      <w:numFmt w:val="bullet"/>
      <w:lvlText w:val=""/>
      <w:lvlJc w:val="left"/>
      <w:pPr>
        <w:ind w:left="839" w:hanging="360"/>
      </w:pPr>
      <w:rPr>
        <w:rFonts w:ascii="Symbol" w:eastAsia="Symbol" w:hAnsi="Symbol" w:cs="Symbol" w:hint="default"/>
        <w:w w:val="99"/>
        <w:sz w:val="20"/>
        <w:szCs w:val="20"/>
        <w:lang w:val="en-US" w:eastAsia="en-US" w:bidi="en-US"/>
      </w:rPr>
    </w:lvl>
    <w:lvl w:ilvl="1" w:tplc="23387784">
      <w:numFmt w:val="bullet"/>
      <w:lvlText w:val="•"/>
      <w:lvlJc w:val="left"/>
      <w:pPr>
        <w:ind w:left="1694" w:hanging="360"/>
      </w:pPr>
      <w:rPr>
        <w:rFonts w:hint="default"/>
        <w:lang w:val="en-US" w:eastAsia="en-US" w:bidi="en-US"/>
      </w:rPr>
    </w:lvl>
    <w:lvl w:ilvl="2" w:tplc="7B2A7B30">
      <w:numFmt w:val="bullet"/>
      <w:lvlText w:val="•"/>
      <w:lvlJc w:val="left"/>
      <w:pPr>
        <w:ind w:left="2548" w:hanging="360"/>
      </w:pPr>
      <w:rPr>
        <w:rFonts w:hint="default"/>
        <w:lang w:val="en-US" w:eastAsia="en-US" w:bidi="en-US"/>
      </w:rPr>
    </w:lvl>
    <w:lvl w:ilvl="3" w:tplc="7AD00BCE">
      <w:numFmt w:val="bullet"/>
      <w:lvlText w:val="•"/>
      <w:lvlJc w:val="left"/>
      <w:pPr>
        <w:ind w:left="3402" w:hanging="360"/>
      </w:pPr>
      <w:rPr>
        <w:rFonts w:hint="default"/>
        <w:lang w:val="en-US" w:eastAsia="en-US" w:bidi="en-US"/>
      </w:rPr>
    </w:lvl>
    <w:lvl w:ilvl="4" w:tplc="5F20ED9C">
      <w:numFmt w:val="bullet"/>
      <w:lvlText w:val="•"/>
      <w:lvlJc w:val="left"/>
      <w:pPr>
        <w:ind w:left="4256" w:hanging="360"/>
      </w:pPr>
      <w:rPr>
        <w:rFonts w:hint="default"/>
        <w:lang w:val="en-US" w:eastAsia="en-US" w:bidi="en-US"/>
      </w:rPr>
    </w:lvl>
    <w:lvl w:ilvl="5" w:tplc="24BA460A">
      <w:numFmt w:val="bullet"/>
      <w:lvlText w:val="•"/>
      <w:lvlJc w:val="left"/>
      <w:pPr>
        <w:ind w:left="5110" w:hanging="360"/>
      </w:pPr>
      <w:rPr>
        <w:rFonts w:hint="default"/>
        <w:lang w:val="en-US" w:eastAsia="en-US" w:bidi="en-US"/>
      </w:rPr>
    </w:lvl>
    <w:lvl w:ilvl="6" w:tplc="63088E08">
      <w:numFmt w:val="bullet"/>
      <w:lvlText w:val="•"/>
      <w:lvlJc w:val="left"/>
      <w:pPr>
        <w:ind w:left="5964" w:hanging="360"/>
      </w:pPr>
      <w:rPr>
        <w:rFonts w:hint="default"/>
        <w:lang w:val="en-US" w:eastAsia="en-US" w:bidi="en-US"/>
      </w:rPr>
    </w:lvl>
    <w:lvl w:ilvl="7" w:tplc="33D2758C">
      <w:numFmt w:val="bullet"/>
      <w:lvlText w:val="•"/>
      <w:lvlJc w:val="left"/>
      <w:pPr>
        <w:ind w:left="6818" w:hanging="360"/>
      </w:pPr>
      <w:rPr>
        <w:rFonts w:hint="default"/>
        <w:lang w:val="en-US" w:eastAsia="en-US" w:bidi="en-US"/>
      </w:rPr>
    </w:lvl>
    <w:lvl w:ilvl="8" w:tplc="16F04F2C">
      <w:numFmt w:val="bullet"/>
      <w:lvlText w:val="•"/>
      <w:lvlJc w:val="left"/>
      <w:pPr>
        <w:ind w:left="7672" w:hanging="360"/>
      </w:pPr>
      <w:rPr>
        <w:rFonts w:hint="default"/>
        <w:lang w:val="en-US" w:eastAsia="en-US" w:bidi="en-U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CC"/>
    <w:rsid w:val="00087052"/>
    <w:rsid w:val="004125C5"/>
    <w:rsid w:val="0053033B"/>
    <w:rsid w:val="00642D8B"/>
    <w:rsid w:val="007155CC"/>
    <w:rsid w:val="00D8401A"/>
    <w:rsid w:val="00E3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1CFC4"/>
  <w15:chartTrackingRefBased/>
  <w15:docId w15:val="{761E260C-906B-5541-AB60-BF14D125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5CC"/>
    <w:pPr>
      <w:spacing w:after="160" w:line="259" w:lineRule="auto"/>
    </w:pPr>
    <w:rPr>
      <w:sz w:val="22"/>
      <w:szCs w:val="22"/>
    </w:rPr>
  </w:style>
  <w:style w:type="paragraph" w:styleId="Heading1">
    <w:name w:val="heading 1"/>
    <w:basedOn w:val="Normal"/>
    <w:next w:val="Normal"/>
    <w:link w:val="Heading1Char"/>
    <w:uiPriority w:val="9"/>
    <w:qFormat/>
    <w:rsid w:val="007155C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5C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7155CC"/>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7155CC"/>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7155CC"/>
    <w:pPr>
      <w:widowControl w:val="0"/>
      <w:autoSpaceDE w:val="0"/>
      <w:autoSpaceDN w:val="0"/>
      <w:spacing w:after="0" w:line="240" w:lineRule="auto"/>
      <w:ind w:left="479" w:hanging="360"/>
    </w:pPr>
    <w:rPr>
      <w:rFonts w:ascii="Times New Roman" w:eastAsia="Times New Roman" w:hAnsi="Times New Roman" w:cs="Times New Roman"/>
      <w:lang w:bidi="en-US"/>
    </w:rPr>
  </w:style>
  <w:style w:type="paragraph" w:customStyle="1" w:styleId="Default">
    <w:name w:val="Default"/>
    <w:rsid w:val="00E3529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lusion.tcu.edu/about/vision-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Krista</dc:creator>
  <cp:keywords/>
  <dc:description/>
  <cp:lastModifiedBy>Scott, Krista</cp:lastModifiedBy>
  <cp:revision>2</cp:revision>
  <dcterms:created xsi:type="dcterms:W3CDTF">2020-07-07T00:12:00Z</dcterms:created>
  <dcterms:modified xsi:type="dcterms:W3CDTF">2020-07-07T00:18:00Z</dcterms:modified>
</cp:coreProperties>
</file>