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EA1B0" w14:textId="77777777" w:rsidR="001773FC" w:rsidRPr="00851016" w:rsidRDefault="004F78C8">
      <w:pPr>
        <w:jc w:val="center"/>
        <w:outlineLvl w:val="0"/>
        <w:rPr>
          <w:b/>
          <w:bCs/>
        </w:rPr>
      </w:pPr>
      <w:r w:rsidRPr="00851016">
        <w:rPr>
          <w:b/>
          <w:bCs/>
        </w:rPr>
        <w:t>TCU Faculty Senate Meeting</w:t>
      </w:r>
    </w:p>
    <w:p w14:paraId="574DA731" w14:textId="2ED8C257" w:rsidR="001773FC" w:rsidRPr="00851016" w:rsidRDefault="006A6EC2">
      <w:pPr>
        <w:jc w:val="center"/>
        <w:outlineLvl w:val="0"/>
        <w:rPr>
          <w:b/>
          <w:bCs/>
        </w:rPr>
      </w:pPr>
      <w:r>
        <w:rPr>
          <w:b/>
          <w:bCs/>
        </w:rPr>
        <w:t>1 November</w:t>
      </w:r>
      <w:r w:rsidR="003B662F">
        <w:rPr>
          <w:b/>
          <w:bCs/>
        </w:rPr>
        <w:t xml:space="preserve"> 2018</w:t>
      </w:r>
    </w:p>
    <w:p w14:paraId="5913DCDD" w14:textId="77777777" w:rsidR="001773FC" w:rsidRPr="00851016" w:rsidRDefault="004F78C8">
      <w:pPr>
        <w:jc w:val="center"/>
        <w:outlineLvl w:val="0"/>
        <w:rPr>
          <w:b/>
          <w:bCs/>
        </w:rPr>
      </w:pPr>
      <w:r w:rsidRPr="00851016">
        <w:rPr>
          <w:b/>
          <w:bCs/>
        </w:rPr>
        <w:t>3:30 – 5:00 PM</w:t>
      </w:r>
    </w:p>
    <w:p w14:paraId="6A0CF0DC" w14:textId="77777777" w:rsidR="001773FC" w:rsidRPr="00851016" w:rsidRDefault="004F78C8">
      <w:pPr>
        <w:jc w:val="center"/>
        <w:outlineLvl w:val="0"/>
        <w:rPr>
          <w:b/>
          <w:bCs/>
        </w:rPr>
      </w:pPr>
      <w:r w:rsidRPr="00851016">
        <w:rPr>
          <w:b/>
          <w:bCs/>
        </w:rPr>
        <w:t>Faculty Senate Chambers</w:t>
      </w:r>
    </w:p>
    <w:p w14:paraId="0D811B51" w14:textId="77777777" w:rsidR="001773FC" w:rsidRPr="00851016" w:rsidRDefault="001773FC">
      <w:pPr>
        <w:jc w:val="center"/>
        <w:outlineLvl w:val="0"/>
        <w:rPr>
          <w:b/>
          <w:bCs/>
        </w:rPr>
      </w:pPr>
    </w:p>
    <w:p w14:paraId="2D019B6A" w14:textId="77777777" w:rsidR="001773FC" w:rsidRPr="00851016" w:rsidRDefault="004F78C8">
      <w:pPr>
        <w:jc w:val="center"/>
        <w:outlineLvl w:val="0"/>
        <w:rPr>
          <w:b/>
          <w:bCs/>
          <w:u w:val="single"/>
        </w:rPr>
      </w:pPr>
      <w:r w:rsidRPr="00851016">
        <w:rPr>
          <w:b/>
          <w:bCs/>
          <w:u w:val="single"/>
        </w:rPr>
        <w:t>Minutes</w:t>
      </w:r>
    </w:p>
    <w:p w14:paraId="31B3F2B2" w14:textId="77777777" w:rsidR="001773FC" w:rsidRPr="00851016" w:rsidRDefault="001773FC">
      <w:pPr>
        <w:jc w:val="center"/>
        <w:outlineLvl w:val="0"/>
        <w:rPr>
          <w:b/>
          <w:bCs/>
          <w:u w:val="single"/>
        </w:rPr>
      </w:pPr>
    </w:p>
    <w:p w14:paraId="261F76D5" w14:textId="4AE72283" w:rsidR="008D26E2" w:rsidRPr="00851016" w:rsidRDefault="004F78C8" w:rsidP="00D22188">
      <w:pPr>
        <w:outlineLvl w:val="0"/>
      </w:pPr>
      <w:r w:rsidRPr="00851016">
        <w:rPr>
          <w:b/>
          <w:bCs/>
        </w:rPr>
        <w:t>Senators Present</w:t>
      </w:r>
      <w:r w:rsidR="00196279" w:rsidRPr="00851016">
        <w:rPr>
          <w:b/>
          <w:bCs/>
        </w:rPr>
        <w:t xml:space="preserve">: </w:t>
      </w:r>
      <w:r w:rsidR="00B86C32" w:rsidRPr="00851016">
        <w:t>Allender, Marind</w:t>
      </w:r>
      <w:r w:rsidR="00B86C32">
        <w:t xml:space="preserve">a; </w:t>
      </w:r>
      <w:r w:rsidR="004E3144">
        <w:t xml:space="preserve">Barger, Kat; </w:t>
      </w:r>
      <w:r w:rsidR="008D26E2" w:rsidRPr="00851016">
        <w:t xml:space="preserve">Bedford, David; </w:t>
      </w:r>
      <w:r w:rsidR="00802B43" w:rsidRPr="00851016">
        <w:t>Bowen, Kendra</w:t>
      </w:r>
      <w:r w:rsidR="00802B43">
        <w:t>;</w:t>
      </w:r>
      <w:r w:rsidR="00802B43" w:rsidRPr="00851016">
        <w:t xml:space="preserve"> </w:t>
      </w:r>
      <w:r w:rsidR="003651DA" w:rsidRPr="00851016">
        <w:t xml:space="preserve">Bradley, </w:t>
      </w:r>
      <w:r w:rsidR="003651DA">
        <w:t>Layne;</w:t>
      </w:r>
      <w:r w:rsidR="003651DA" w:rsidRPr="00851016">
        <w:t xml:space="preserve"> </w:t>
      </w:r>
      <w:r w:rsidR="00954074">
        <w:t xml:space="preserve">Busbey, Art; </w:t>
      </w:r>
      <w:r w:rsidR="004E3144" w:rsidRPr="00851016">
        <w:t>Canclini, Sharon</w:t>
      </w:r>
      <w:r w:rsidR="004E3144">
        <w:t xml:space="preserve">; </w:t>
      </w:r>
      <w:r w:rsidR="00954074" w:rsidRPr="00851016">
        <w:t>Carri</w:t>
      </w:r>
      <w:r w:rsidR="00954074" w:rsidRPr="00851016">
        <w:rPr>
          <w:rFonts w:cs="Times New Roman"/>
        </w:rPr>
        <w:t>ó</w:t>
      </w:r>
      <w:r w:rsidR="00954074" w:rsidRPr="00851016">
        <w:t>n, Jos</w:t>
      </w:r>
      <w:r w:rsidR="00954074" w:rsidRPr="00851016">
        <w:rPr>
          <w:rFonts w:cs="Times New Roman"/>
        </w:rPr>
        <w:t>é</w:t>
      </w:r>
      <w:r w:rsidR="00954074">
        <w:rPr>
          <w:rFonts w:cs="Times New Roman"/>
        </w:rPr>
        <w:t xml:space="preserve">; Dastgeer, Shugofa; </w:t>
      </w:r>
      <w:r w:rsidR="004E3144">
        <w:t xml:space="preserve">Flowers, Roma; </w:t>
      </w:r>
      <w:r w:rsidR="00677AF9" w:rsidRPr="00851016">
        <w:t xml:space="preserve">Frable, Pamela; </w:t>
      </w:r>
      <w:r w:rsidR="008D26E2" w:rsidRPr="00851016">
        <w:t xml:space="preserve">Friedman, Greg; </w:t>
      </w:r>
      <w:r w:rsidR="00802B43" w:rsidRPr="00851016">
        <w:t xml:space="preserve">Gollaher, Timothy; </w:t>
      </w:r>
      <w:r w:rsidR="00E74F14" w:rsidRPr="00851016">
        <w:t xml:space="preserve">Havens, Jill; </w:t>
      </w:r>
      <w:r w:rsidR="00002EB4">
        <w:t xml:space="preserve">Hawley, Diane; </w:t>
      </w:r>
      <w:r w:rsidR="008D26E2" w:rsidRPr="00851016">
        <w:t xml:space="preserve">Herzig, Emily; </w:t>
      </w:r>
      <w:r w:rsidR="003651DA" w:rsidRPr="00851016">
        <w:t>Hokayem, Hayat</w:t>
      </w:r>
      <w:r w:rsidR="003651DA">
        <w:t xml:space="preserve">; </w:t>
      </w:r>
      <w:r w:rsidR="004E3144" w:rsidRPr="00851016">
        <w:t xml:space="preserve">Jackson, Lynn; </w:t>
      </w:r>
      <w:r w:rsidR="003651DA" w:rsidRPr="00851016">
        <w:t xml:space="preserve">Jones, Clark; </w:t>
      </w:r>
      <w:r w:rsidR="004E3144" w:rsidRPr="00851016">
        <w:t xml:space="preserve">Kiani, Morgan; </w:t>
      </w:r>
      <w:r w:rsidR="00B86C32" w:rsidRPr="00851016">
        <w:t>Ledbetter, Andrew</w:t>
      </w:r>
      <w:r w:rsidR="00B86C32">
        <w:t xml:space="preserve">; </w:t>
      </w:r>
      <w:r w:rsidR="00B86C32" w:rsidRPr="00851016">
        <w:t xml:space="preserve">Ledis, Dennis; </w:t>
      </w:r>
      <w:r w:rsidR="008D26E2" w:rsidRPr="00851016">
        <w:t xml:space="preserve">Legatski, Ted; </w:t>
      </w:r>
      <w:r w:rsidR="004E3144">
        <w:t xml:space="preserve">Loveall, Ian; </w:t>
      </w:r>
      <w:r w:rsidR="00A1060E" w:rsidRPr="00851016">
        <w:t xml:space="preserve">Lovett, John; </w:t>
      </w:r>
      <w:r w:rsidR="004E3144">
        <w:t xml:space="preserve">Lynch, Laurel; Maas, Penny; </w:t>
      </w:r>
      <w:r w:rsidR="00787BD2" w:rsidRPr="00851016">
        <w:t>McGettigan, Joan;</w:t>
      </w:r>
      <w:r w:rsidR="00787BD2" w:rsidRPr="00787BD2">
        <w:t xml:space="preserve"> </w:t>
      </w:r>
      <w:r w:rsidR="00A02E07" w:rsidRPr="00851016">
        <w:t>Mei</w:t>
      </w:r>
      <w:r w:rsidR="00EB1952">
        <w:t xml:space="preserve">tl, Michele; </w:t>
      </w:r>
      <w:r w:rsidR="003651DA" w:rsidRPr="00851016">
        <w:t xml:space="preserve">Moeller, Thomas; </w:t>
      </w:r>
      <w:r w:rsidR="00F25FB4" w:rsidRPr="00851016">
        <w:t xml:space="preserve">Moore, Jeff; </w:t>
      </w:r>
      <w:r w:rsidR="004E3144" w:rsidRPr="00851016">
        <w:t>Nelson, Karen</w:t>
      </w:r>
      <w:r w:rsidR="004E3144">
        <w:t xml:space="preserve">; </w:t>
      </w:r>
      <w:r w:rsidR="004E3144" w:rsidRPr="00851016">
        <w:rPr>
          <w:rFonts w:cs="Times New Roman"/>
        </w:rPr>
        <w:t>Piñón, Santiago</w:t>
      </w:r>
      <w:r w:rsidR="004E3144">
        <w:rPr>
          <w:rFonts w:cs="Times New Roman"/>
        </w:rPr>
        <w:t xml:space="preserve">; </w:t>
      </w:r>
      <w:r w:rsidR="008D26E2" w:rsidRPr="00851016">
        <w:t>Quesada, Jan;</w:t>
      </w:r>
      <w:r w:rsidR="00F25FB4">
        <w:t xml:space="preserve"> Quinn, Brandy;</w:t>
      </w:r>
      <w:r w:rsidR="00F25FB4" w:rsidRPr="00851016">
        <w:t xml:space="preserve"> </w:t>
      </w:r>
      <w:r w:rsidR="00EB1952">
        <w:t xml:space="preserve">Ramasesh, Ranga; Ramirez, Susan; </w:t>
      </w:r>
      <w:r w:rsidR="003A1478">
        <w:t xml:space="preserve">Sandell, David; </w:t>
      </w:r>
      <w:r w:rsidR="004E3144">
        <w:t xml:space="preserve">Sawyer, Chris; </w:t>
      </w:r>
      <w:r w:rsidR="00EB1952">
        <w:t xml:space="preserve">Schein, Marie; </w:t>
      </w:r>
      <w:r w:rsidR="008D26E2" w:rsidRPr="00851016">
        <w:t xml:space="preserve">Scherger, Michael; </w:t>
      </w:r>
      <w:r w:rsidR="004E3144">
        <w:t xml:space="preserve">Schiffer, Adam; </w:t>
      </w:r>
      <w:r w:rsidR="000A6520" w:rsidRPr="00851016">
        <w:t xml:space="preserve">Scott, Krista; </w:t>
      </w:r>
      <w:r w:rsidR="008D26E2" w:rsidRPr="00851016">
        <w:t xml:space="preserve">Spice, Loren; </w:t>
      </w:r>
      <w:r w:rsidR="00F25FB4" w:rsidRPr="00851016">
        <w:t xml:space="preserve">Stephens, Greg; </w:t>
      </w:r>
      <w:r w:rsidR="004E3144">
        <w:t>Tomlin, Drew</w:t>
      </w:r>
      <w:r w:rsidR="00EB1952">
        <w:t xml:space="preserve"> </w:t>
      </w:r>
    </w:p>
    <w:p w14:paraId="2B62BEDB" w14:textId="77777777" w:rsidR="00196279" w:rsidRPr="00851016" w:rsidRDefault="00196279" w:rsidP="00196279">
      <w:pPr>
        <w:outlineLvl w:val="0"/>
      </w:pPr>
    </w:p>
    <w:p w14:paraId="73905701" w14:textId="7DCD03B7" w:rsidR="001773FC" w:rsidRDefault="004F78C8" w:rsidP="000A6520">
      <w:pPr>
        <w:outlineLvl w:val="0"/>
      </w:pPr>
      <w:r w:rsidRPr="00851016">
        <w:rPr>
          <w:b/>
          <w:bCs/>
        </w:rPr>
        <w:t>Senators Excused</w:t>
      </w:r>
      <w:r w:rsidR="00196279" w:rsidRPr="00851016">
        <w:rPr>
          <w:b/>
          <w:bCs/>
        </w:rPr>
        <w:t xml:space="preserve">: </w:t>
      </w:r>
      <w:r w:rsidR="004E3144" w:rsidRPr="00851016">
        <w:t xml:space="preserve">Atkinson, Sean; Bashore, Lisa; </w:t>
      </w:r>
      <w:r w:rsidR="004E3144">
        <w:t>Fripp, Jessica;</w:t>
      </w:r>
      <w:r w:rsidR="004E3144" w:rsidRPr="00851016">
        <w:t xml:space="preserve"> </w:t>
      </w:r>
      <w:r w:rsidR="004E3144">
        <w:t xml:space="preserve">Harvey, Omar; Helms, Jason; Johnson, Kevin; </w:t>
      </w:r>
      <w:r w:rsidR="004E3144" w:rsidRPr="00851016">
        <w:t xml:space="preserve">Lemon, Alex; </w:t>
      </w:r>
      <w:r w:rsidR="00F779A6">
        <w:t xml:space="preserve">Meyn, </w:t>
      </w:r>
      <w:r w:rsidR="004E3144" w:rsidRPr="00851016">
        <w:t>Till</w:t>
      </w:r>
      <w:r w:rsidR="004E3144">
        <w:t xml:space="preserve">; </w:t>
      </w:r>
      <w:r w:rsidR="004E3144" w:rsidRPr="00851016">
        <w:t xml:space="preserve">Nhan, Johnny; </w:t>
      </w:r>
      <w:r w:rsidR="00802B43">
        <w:t xml:space="preserve">Sawey, Michael; </w:t>
      </w:r>
      <w:r w:rsidR="00CE78E7" w:rsidRPr="00851016">
        <w:t>Skinner, M</w:t>
      </w:r>
      <w:r w:rsidR="00CE78E7">
        <w:t xml:space="preserve">ichael; </w:t>
      </w:r>
      <w:r w:rsidR="00EB1952">
        <w:t>Walters, Patricia</w:t>
      </w:r>
      <w:r w:rsidR="004E3144">
        <w:t xml:space="preserve">; </w:t>
      </w:r>
      <w:r w:rsidR="004E3144" w:rsidRPr="00851016">
        <w:t>Watkins, Timothy</w:t>
      </w:r>
      <w:r w:rsidR="004E3144">
        <w:t>; Williams, Daniel; Wood, Barbara</w:t>
      </w:r>
    </w:p>
    <w:p w14:paraId="251E2947" w14:textId="77777777" w:rsidR="00F25FB4" w:rsidRPr="00851016" w:rsidRDefault="00F25FB4">
      <w:pPr>
        <w:outlineLvl w:val="0"/>
      </w:pPr>
    </w:p>
    <w:p w14:paraId="502E0A72" w14:textId="2F098BC0" w:rsidR="008D26E2" w:rsidRPr="00851016" w:rsidRDefault="00A1788C" w:rsidP="00CE78E7">
      <w:pPr>
        <w:outlineLvl w:val="0"/>
      </w:pPr>
      <w:r w:rsidRPr="00851016">
        <w:rPr>
          <w:b/>
          <w:bCs/>
        </w:rPr>
        <w:t>S</w:t>
      </w:r>
      <w:r w:rsidR="004F78C8" w:rsidRPr="00851016">
        <w:rPr>
          <w:b/>
          <w:bCs/>
        </w:rPr>
        <w:t>enators Absent</w:t>
      </w:r>
      <w:r w:rsidR="00196279" w:rsidRPr="00851016">
        <w:rPr>
          <w:b/>
          <w:bCs/>
        </w:rPr>
        <w:t xml:space="preserve">: </w:t>
      </w:r>
      <w:r w:rsidR="004E3144">
        <w:t xml:space="preserve">Bentley, Joshua (Schieffer); Esposito, Phil (Harris); Grau, Stacy (Neeley); </w:t>
      </w:r>
      <w:r w:rsidR="004E3144" w:rsidRPr="00851016">
        <w:t>Marichal, Albert</w:t>
      </w:r>
      <w:r w:rsidR="004E3144">
        <w:t xml:space="preserve"> (Fine Arts); Moessner, David (AddRan); </w:t>
      </w:r>
      <w:r w:rsidR="00802B43" w:rsidRPr="00851016">
        <w:t xml:space="preserve">Palko, </w:t>
      </w:r>
      <w:r w:rsidR="00802B43">
        <w:t>Steve (Education</w:t>
      </w:r>
      <w:r w:rsidR="003A1478">
        <w:t>)</w:t>
      </w:r>
    </w:p>
    <w:p w14:paraId="4F68D27B" w14:textId="77777777" w:rsidR="00A1788C" w:rsidRPr="00851016" w:rsidRDefault="00A1788C">
      <w:pPr>
        <w:outlineLvl w:val="0"/>
      </w:pPr>
    </w:p>
    <w:p w14:paraId="532C959F" w14:textId="22FB4737" w:rsidR="001B29EB" w:rsidRDefault="004F78C8">
      <w:pPr>
        <w:pStyle w:val="Body1"/>
        <w:spacing w:after="200"/>
      </w:pPr>
      <w:r w:rsidRPr="00851016">
        <w:rPr>
          <w:b/>
          <w:bCs/>
        </w:rPr>
        <w:t>Guests Present</w:t>
      </w:r>
      <w:r w:rsidR="00196279" w:rsidRPr="00851016">
        <w:rPr>
          <w:b/>
          <w:bCs/>
        </w:rPr>
        <w:t xml:space="preserve">: </w:t>
      </w:r>
      <w:r w:rsidR="004E3144">
        <w:t xml:space="preserve">Eric Gobel; Heath Einstein (Dean of Admissions); Alexis Hood (SGA); Yohna Chambers (VC of HR); </w:t>
      </w:r>
      <w:r w:rsidR="006A6EC2">
        <w:t>Victor Boschini (Chancellor); Aisha Torrey-Sawyer</w:t>
      </w:r>
    </w:p>
    <w:p w14:paraId="6EC7368E" w14:textId="1D153F5D" w:rsidR="001773FC" w:rsidRPr="00851016" w:rsidRDefault="004F78C8">
      <w:pPr>
        <w:pStyle w:val="Body1"/>
        <w:spacing w:after="200"/>
        <w:rPr>
          <w:b/>
          <w:bCs/>
        </w:rPr>
      </w:pPr>
      <w:r w:rsidRPr="00851016">
        <w:rPr>
          <w:b/>
          <w:bCs/>
        </w:rPr>
        <w:t>Call to Order</w:t>
      </w:r>
    </w:p>
    <w:p w14:paraId="6B84D5D4" w14:textId="1CEDE722" w:rsidR="001773FC" w:rsidRDefault="004F78C8">
      <w:pPr>
        <w:pStyle w:val="Body1"/>
        <w:numPr>
          <w:ilvl w:val="0"/>
          <w:numId w:val="2"/>
        </w:numPr>
        <w:spacing w:after="200"/>
      </w:pPr>
      <w:r w:rsidRPr="00851016">
        <w:t xml:space="preserve">Faculty Senate </w:t>
      </w:r>
      <w:r w:rsidRPr="00623B9B">
        <w:rPr>
          <w:b/>
        </w:rPr>
        <w:t xml:space="preserve">Chair </w:t>
      </w:r>
      <w:r w:rsidR="00CA637C" w:rsidRPr="00623B9B">
        <w:rPr>
          <w:b/>
        </w:rPr>
        <w:t>Greg Stephens</w:t>
      </w:r>
      <w:r w:rsidRPr="00851016">
        <w:t xml:space="preserve"> called the meeting to order</w:t>
      </w:r>
      <w:r w:rsidR="00F812C6">
        <w:t xml:space="preserve"> at 3:30</w:t>
      </w:r>
      <w:r w:rsidR="0063204F">
        <w:t>.</w:t>
      </w:r>
    </w:p>
    <w:p w14:paraId="02D53BBE" w14:textId="51BBB947" w:rsidR="00C401CC" w:rsidRPr="00851016" w:rsidRDefault="004F78C8" w:rsidP="009B0F97">
      <w:pPr>
        <w:pStyle w:val="Body1"/>
        <w:numPr>
          <w:ilvl w:val="0"/>
          <w:numId w:val="2"/>
        </w:numPr>
        <w:spacing w:after="200"/>
      </w:pPr>
      <w:r w:rsidRPr="00851016">
        <w:t xml:space="preserve">The minutes of the </w:t>
      </w:r>
      <w:r w:rsidR="00F779A6">
        <w:t>October 4</w:t>
      </w:r>
      <w:r w:rsidR="00331BA8">
        <w:t>, 2018</w:t>
      </w:r>
      <w:r w:rsidR="00C401CC" w:rsidRPr="00851016">
        <w:t>,</w:t>
      </w:r>
      <w:r w:rsidRPr="00851016">
        <w:t xml:space="preserve"> meeting of the Faculty Senate were approved as </w:t>
      </w:r>
      <w:r w:rsidR="0063204F">
        <w:t>written</w:t>
      </w:r>
      <w:r w:rsidR="00331BA8">
        <w:t>.</w:t>
      </w:r>
    </w:p>
    <w:p w14:paraId="5C64ABBB" w14:textId="08C027B1" w:rsidR="00623B9B" w:rsidRPr="00623B9B" w:rsidRDefault="004F78C8" w:rsidP="00623B9B">
      <w:pPr>
        <w:pStyle w:val="Body1"/>
        <w:spacing w:after="200"/>
        <w:rPr>
          <w:b/>
          <w:bCs/>
        </w:rPr>
      </w:pPr>
      <w:r w:rsidRPr="00851016">
        <w:rPr>
          <w:b/>
          <w:bCs/>
        </w:rPr>
        <w:t>New Business</w:t>
      </w:r>
    </w:p>
    <w:p w14:paraId="2C6AFA96" w14:textId="61C33488" w:rsidR="00DB6358" w:rsidRDefault="00DB6358" w:rsidP="00DB6358">
      <w:pPr>
        <w:pStyle w:val="ListParagraph"/>
        <w:numPr>
          <w:ilvl w:val="0"/>
          <w:numId w:val="2"/>
        </w:numPr>
      </w:pPr>
      <w:r w:rsidRPr="00DB6358">
        <w:rPr>
          <w:b/>
          <w:spacing w:val="-1"/>
        </w:rPr>
        <w:t>Chris Stolarzyk</w:t>
      </w:r>
      <w:r>
        <w:t xml:space="preserve"> from United Way</w:t>
      </w:r>
      <w:r>
        <w:t xml:space="preserve"> &amp; Chair Greg Stephens</w:t>
      </w:r>
      <w:r>
        <w:t xml:space="preserve"> gave a </w:t>
      </w:r>
      <w:r>
        <w:t xml:space="preserve">joint </w:t>
      </w:r>
      <w:r>
        <w:t xml:space="preserve">presentation on the numerous services of the United Way in Tarrant County and urged </w:t>
      </w:r>
      <w:r>
        <w:t xml:space="preserve">faculty </w:t>
      </w:r>
      <w:r>
        <w:t xml:space="preserve">participation in the </w:t>
      </w:r>
      <w:r w:rsidRPr="00DB6358">
        <w:rPr>
          <w:b/>
        </w:rPr>
        <w:t>TCU United Way pledge drive</w:t>
      </w:r>
      <w:r>
        <w:t xml:space="preserve">. </w:t>
      </w:r>
    </w:p>
    <w:p w14:paraId="11ADE445" w14:textId="68BF1DD0" w:rsidR="00A146A6" w:rsidRPr="0063204F" w:rsidRDefault="00A146A6" w:rsidP="0063204F">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cs="Times New Roman"/>
          <w:color w:val="212121"/>
          <w:bdr w:val="none" w:sz="0" w:space="0" w:color="auto"/>
        </w:rPr>
      </w:pPr>
    </w:p>
    <w:p w14:paraId="7FFC6AE2" w14:textId="05B7BA64" w:rsidR="00DB6358" w:rsidRDefault="00DB6358" w:rsidP="00EE5D17">
      <w:pPr>
        <w:pStyle w:val="ListParagraph"/>
        <w:numPr>
          <w:ilvl w:val="0"/>
          <w:numId w:val="2"/>
        </w:numPr>
      </w:pPr>
      <w:r w:rsidRPr="00DB6358">
        <w:rPr>
          <w:b/>
        </w:rPr>
        <w:t>Aisha Torrey-Sawyer</w:t>
      </w:r>
      <w:r>
        <w:t xml:space="preserve">, Director of Inclusiveness and Co-Chair of the DEI Committee appointed by Chancellor Boschini, gave a report on the initiatives TCU is undertaking to make the university more diverse, equitable and inclusive. Her Powerpoint is accessible at the DEI website: </w:t>
      </w:r>
      <w:hyperlink r:id="rId7" w:history="1">
        <w:r w:rsidRPr="00416294">
          <w:rPr>
            <w:rStyle w:val="Hyperlink"/>
          </w:rPr>
          <w:t>www.inclusion.tcu.edu</w:t>
        </w:r>
      </w:hyperlink>
      <w:r>
        <w:t xml:space="preserve">. She reminded the Senate of </w:t>
      </w:r>
      <w:r w:rsidRPr="00DB6358">
        <w:rPr>
          <w:b/>
        </w:rPr>
        <w:t>the challenge for DEI Committee</w:t>
      </w:r>
      <w:r>
        <w:t>—the recruitment and retention of diverse TCU students, staff and faculty, as well as the development of methods to train the campus community to practice inclusion and embrace diversity. After presenting demographic statistics relating to current diversity among students &amp; faculty, Ms. Torrey-Sawyer addressed basic working definitions of the key terms:</w:t>
      </w:r>
    </w:p>
    <w:p w14:paraId="1372ABA5" w14:textId="120719BC" w:rsidR="00DB6358" w:rsidRDefault="00EC0542" w:rsidP="00DB6358">
      <w:pPr>
        <w:pStyle w:val="ListParagraph"/>
        <w:ind w:left="360"/>
      </w:pPr>
      <w:proofErr w:type="gramStart"/>
      <w:r>
        <w:rPr>
          <w:b/>
        </w:rPr>
        <w:t>diversity</w:t>
      </w:r>
      <w:proofErr w:type="gramEnd"/>
      <w:r>
        <w:rPr>
          <w:b/>
        </w:rPr>
        <w:t>, equity and inclusion.</w:t>
      </w:r>
    </w:p>
    <w:p w14:paraId="4EA313B1" w14:textId="40E30A23" w:rsidR="00DB6358" w:rsidRDefault="00DB6358" w:rsidP="00E36CB4">
      <w:pPr>
        <w:ind w:left="360"/>
      </w:pPr>
      <w:r>
        <w:lastRenderedPageBreak/>
        <w:t xml:space="preserve">She posted a list of current and former DEI Committee members and liaisons, and then discussed how the committee gathered their information: </w:t>
      </w:r>
      <w:r>
        <w:t xml:space="preserve">from </w:t>
      </w:r>
      <w:r>
        <w:t xml:space="preserve">focus groups in the fall 2017, </w:t>
      </w:r>
      <w:r w:rsidRPr="00DB6358">
        <w:rPr>
          <w:b/>
        </w:rPr>
        <w:t>Campus Climate survey</w:t>
      </w:r>
      <w:r>
        <w:t xml:space="preserve"> in spring 2018, VIA town hall meetings, as well as listening to personal experiences and stories from students &amp; employees. </w:t>
      </w:r>
      <w:r w:rsidR="00134475">
        <w:t>Torrey-Sawyer lined out the</w:t>
      </w:r>
    </w:p>
    <w:p w14:paraId="51183C2F" w14:textId="02AC7EC2" w:rsidR="00DB6358" w:rsidRDefault="00DB6358" w:rsidP="00E36CB4">
      <w:pPr>
        <w:ind w:left="360"/>
      </w:pPr>
      <w:r>
        <w:t xml:space="preserve">DEI goals: (1) </w:t>
      </w:r>
      <w:r w:rsidRPr="00194A65">
        <w:rPr>
          <w:b/>
        </w:rPr>
        <w:t xml:space="preserve">Attract </w:t>
      </w:r>
      <w:r>
        <w:t xml:space="preserve">(underrepresented groups of students, faculty and staff); (2) </w:t>
      </w:r>
      <w:r w:rsidRPr="000A59FB">
        <w:rPr>
          <w:b/>
        </w:rPr>
        <w:t>Teach</w:t>
      </w:r>
      <w:r>
        <w:rPr>
          <w:b/>
        </w:rPr>
        <w:t xml:space="preserve"> </w:t>
      </w:r>
      <w:r>
        <w:t xml:space="preserve">(bolster curriculum, training and other academic initiatives to promote an understanding of DEI); </w:t>
      </w:r>
      <w:r>
        <w:t xml:space="preserve">(3) </w:t>
      </w:r>
      <w:r w:rsidRPr="000A59FB">
        <w:rPr>
          <w:b/>
        </w:rPr>
        <w:t>Reach</w:t>
      </w:r>
      <w:r>
        <w:t xml:space="preserve"> (increase outreach and engagement with external communities and schools with populations of under-represented groups); </w:t>
      </w:r>
      <w:r>
        <w:t xml:space="preserve">(4) </w:t>
      </w:r>
      <w:r w:rsidRPr="00FB522B">
        <w:rPr>
          <w:b/>
        </w:rPr>
        <w:t>Embrace</w:t>
      </w:r>
      <w:r>
        <w:t xml:space="preserve"> (a campus environment that is welcoming from all and free of bias).</w:t>
      </w:r>
      <w:r w:rsidR="00134475">
        <w:t xml:space="preserve"> A number of questions followed in response to her presentation.</w:t>
      </w:r>
      <w:bookmarkStart w:id="0" w:name="_GoBack"/>
      <w:bookmarkEnd w:id="0"/>
    </w:p>
    <w:p w14:paraId="312F88D2" w14:textId="77777777" w:rsidR="00DB6358" w:rsidRDefault="00DB6358" w:rsidP="00DB6358">
      <w:pPr>
        <w:pStyle w:val="ListParagraph"/>
        <w:ind w:left="360"/>
      </w:pPr>
    </w:p>
    <w:p w14:paraId="2E6DE4D8" w14:textId="5F13190D" w:rsidR="00F812C6" w:rsidRPr="00DB6358" w:rsidRDefault="00DB6358" w:rsidP="00DB6358">
      <w:pPr>
        <w:pStyle w:val="ListParagraph"/>
        <w:numPr>
          <w:ilvl w:val="0"/>
          <w:numId w:val="2"/>
        </w:numPr>
        <w:rPr>
          <w:rFonts w:eastAsia="Times New Roman" w:cs="Times New Roman"/>
          <w:color w:val="212121"/>
          <w:bdr w:val="none" w:sz="0" w:space="0" w:color="auto"/>
        </w:rPr>
      </w:pPr>
      <w:r>
        <w:t xml:space="preserve">Next, </w:t>
      </w:r>
      <w:r w:rsidRPr="00FB522B">
        <w:rPr>
          <w:b/>
        </w:rPr>
        <w:t>Heath Einstein, Dean of Admissions</w:t>
      </w:r>
      <w:r>
        <w:t>, gave a presentation on Admission and admission statistics for 2014-18. He noted that</w:t>
      </w:r>
      <w:r>
        <w:t xml:space="preserve"> l</w:t>
      </w:r>
      <w:r>
        <w:t>ast year</w:t>
      </w:r>
      <w:r>
        <w:t xml:space="preserve"> TCU </w:t>
      </w:r>
      <w:r>
        <w:t>saw the largest entering class ever</w:t>
      </w:r>
      <w:r>
        <w:t xml:space="preserve">—highest number of </w:t>
      </w:r>
      <w:r>
        <w:t>freshman applications (20K+).</w:t>
      </w:r>
      <w:r>
        <w:t xml:space="preserve"> He presented an informative set of statistics/metrics relating to the acceptance rate and yield. Einstein also explained the differences between Early Decision, Early Action and Regulation Decision, by which the university builds its entering class.</w:t>
      </w:r>
      <w:r w:rsidR="00EB01B5">
        <w:t xml:space="preserve"> In the final element of his presentation, Einstein discussed with the Senate the ways in which his office is addressing TCU’s commitment to DEI, including creative recruiting strategies. </w:t>
      </w:r>
    </w:p>
    <w:p w14:paraId="32D4862D" w14:textId="77777777" w:rsidR="00DB6358" w:rsidRPr="00FB6023" w:rsidRDefault="00DB6358" w:rsidP="00DB6358">
      <w:pPr>
        <w:pStyle w:val="ListParagraph"/>
        <w:ind w:left="360"/>
        <w:rPr>
          <w:rFonts w:eastAsia="Times New Roman" w:cs="Times New Roman"/>
          <w:color w:val="212121"/>
          <w:bdr w:val="none" w:sz="0" w:space="0" w:color="auto"/>
        </w:rPr>
      </w:pPr>
    </w:p>
    <w:p w14:paraId="2F5DCAB8" w14:textId="478110F5" w:rsidR="00EB01B5" w:rsidRDefault="00EB01B5" w:rsidP="00EB01B5">
      <w:pPr>
        <w:pStyle w:val="ListParagraph"/>
        <w:numPr>
          <w:ilvl w:val="0"/>
          <w:numId w:val="2"/>
        </w:numPr>
      </w:pPr>
      <w:r>
        <w:t xml:space="preserve">Next, with a motion from Chris Sawyer, seconded by Andrew Ledbetter, the Faculty Senate moved into a </w:t>
      </w:r>
      <w:r w:rsidRPr="00EB01B5">
        <w:rPr>
          <w:b/>
        </w:rPr>
        <w:t>Committee of the Whole</w:t>
      </w:r>
      <w:r>
        <w:t xml:space="preserve"> in order to consider a proposed </w:t>
      </w:r>
      <w:r w:rsidRPr="00EB01B5">
        <w:rPr>
          <w:b/>
        </w:rPr>
        <w:t>statement on Shared Governance</w:t>
      </w:r>
      <w:r>
        <w:t xml:space="preserve">. The motion passed. </w:t>
      </w:r>
      <w:r w:rsidRPr="00EB01B5">
        <w:rPr>
          <w:b/>
        </w:rPr>
        <w:t>Pam Frable, chair of the Governance Committee (GC)</w:t>
      </w:r>
      <w:r>
        <w:t xml:space="preserve">, served as the chair of this “Committee of the Whole.” GC had been charged with developing a statement on Shared Governance to address administrative position turnover and instances of faculty not being consulted in decisions regarding faculty interests, so as to have a statement in place for the new Provost. </w:t>
      </w:r>
      <w:r w:rsidRPr="00EB01B5">
        <w:rPr>
          <w:b/>
        </w:rPr>
        <w:t>Past Chair</w:t>
      </w:r>
      <w:r>
        <w:t xml:space="preserve"> </w:t>
      </w:r>
      <w:r w:rsidRPr="00EB01B5">
        <w:rPr>
          <w:b/>
        </w:rPr>
        <w:t>Ted Legatski</w:t>
      </w:r>
      <w:r>
        <w:t xml:space="preserve"> spoke to the relationship of this statement with the Provost Search. The general interest of the Senate is for faculty to be consulted ahead of decisions regarding faculty matters, rather than informed after the fact, </w:t>
      </w:r>
      <w:r>
        <w:t xml:space="preserve">and </w:t>
      </w:r>
      <w:r>
        <w:t xml:space="preserve">for faculty (and the Faculty Senate as </w:t>
      </w:r>
      <w:r>
        <w:t xml:space="preserve">its </w:t>
      </w:r>
      <w:r>
        <w:t>elected representatives) to have influence and voice in decisions regarding faculty matters.</w:t>
      </w:r>
    </w:p>
    <w:p w14:paraId="102FE5F9" w14:textId="25AB1042" w:rsidR="00B466C3" w:rsidRDefault="00B466C3" w:rsidP="00B466C3">
      <w:pPr>
        <w:pStyle w:val="ListParagraph"/>
        <w:ind w:left="360"/>
      </w:pPr>
    </w:p>
    <w:p w14:paraId="71D79E0D" w14:textId="3C4711CC" w:rsidR="00EB01B5" w:rsidRDefault="00EB01B5" w:rsidP="00EB01B5">
      <w:pPr>
        <w:pStyle w:val="ListParagraph"/>
        <w:numPr>
          <w:ilvl w:val="0"/>
          <w:numId w:val="2"/>
        </w:numPr>
      </w:pPr>
      <w:r>
        <w:t>Because of time constraints, the Senate agreed to remand this discussion to the Governance Committee, circulate another draft via email, and have</w:t>
      </w:r>
      <w:r w:rsidR="00C12E75">
        <w:t xml:space="preserve"> </w:t>
      </w:r>
      <w:r>
        <w:t>an email vote on the statement, which would be valid after its due consideration in a Faculty Senate meeting.</w:t>
      </w:r>
      <w:r w:rsidR="00E054A1">
        <w:t xml:space="preserve"> (See appended material.)</w:t>
      </w:r>
    </w:p>
    <w:p w14:paraId="53901D39" w14:textId="77777777" w:rsidR="00EB01B5" w:rsidRDefault="00EB01B5" w:rsidP="00EB01B5"/>
    <w:p w14:paraId="77D755A0" w14:textId="3C0E153C" w:rsidR="00EB01B5" w:rsidRDefault="00EB01B5" w:rsidP="00EB01B5">
      <w:pPr>
        <w:pStyle w:val="ListParagraph"/>
        <w:numPr>
          <w:ilvl w:val="0"/>
          <w:numId w:val="2"/>
        </w:numPr>
      </w:pPr>
      <w:r>
        <w:t>The Senate then moved (by vote) out of Committee of the Whole status and voted to adjourn.</w:t>
      </w:r>
    </w:p>
    <w:p w14:paraId="7A53582B" w14:textId="77777777" w:rsidR="00EB01B5" w:rsidRDefault="00EB01B5" w:rsidP="00EB01B5"/>
    <w:p w14:paraId="1AFCD38A" w14:textId="19893718" w:rsidR="00EB01B5" w:rsidRDefault="00EB01B5" w:rsidP="00EB01B5">
      <w:pPr>
        <w:pStyle w:val="ListParagraph"/>
        <w:numPr>
          <w:ilvl w:val="0"/>
          <w:numId w:val="2"/>
        </w:numPr>
      </w:pPr>
      <w:r>
        <w:t>The meeting was adjourned at 5:15.</w:t>
      </w:r>
    </w:p>
    <w:p w14:paraId="0F9B7325" w14:textId="77777777" w:rsidR="00EB01B5" w:rsidRDefault="00EB01B5">
      <w:pPr>
        <w:outlineLvl w:val="0"/>
      </w:pPr>
    </w:p>
    <w:p w14:paraId="18DEC012" w14:textId="10FE875B" w:rsidR="001773FC" w:rsidRPr="00851016" w:rsidRDefault="004F78C8">
      <w:pPr>
        <w:outlineLvl w:val="0"/>
      </w:pPr>
      <w:r w:rsidRPr="00851016">
        <w:t>Respectfully submitted,</w:t>
      </w:r>
    </w:p>
    <w:p w14:paraId="77620B99" w14:textId="77777777" w:rsidR="001773FC" w:rsidRPr="00851016" w:rsidRDefault="001773FC">
      <w:pPr>
        <w:outlineLvl w:val="0"/>
      </w:pPr>
    </w:p>
    <w:p w14:paraId="20826121" w14:textId="08FAAD18" w:rsidR="001773FC" w:rsidRDefault="007E692B" w:rsidP="00412C46">
      <w:pPr>
        <w:outlineLvl w:val="0"/>
      </w:pPr>
      <w:r w:rsidRPr="00851016">
        <w:t xml:space="preserve">Jan </w:t>
      </w:r>
      <w:r w:rsidR="00EB01B5">
        <w:t xml:space="preserve">Jaynes </w:t>
      </w:r>
      <w:r w:rsidRPr="00851016">
        <w:t>Quesada</w:t>
      </w:r>
      <w:r w:rsidR="005019F4" w:rsidRPr="00851016">
        <w:t>,</w:t>
      </w:r>
      <w:r w:rsidR="00412C46">
        <w:t xml:space="preserve"> </w:t>
      </w:r>
      <w:r w:rsidR="004F78C8" w:rsidRPr="00851016">
        <w:t>Secretary</w:t>
      </w:r>
    </w:p>
    <w:p w14:paraId="13CF1BD5" w14:textId="7C5B1FC7" w:rsidR="00EB01B5" w:rsidRDefault="00EB01B5" w:rsidP="00412C46">
      <w:pPr>
        <w:outlineLvl w:val="0"/>
      </w:pPr>
      <w:r>
        <w:t>TCU Faculty Senate</w:t>
      </w:r>
    </w:p>
    <w:p w14:paraId="4EDF212F" w14:textId="6108E6B5" w:rsidR="00C12E75" w:rsidRDefault="00C12E75" w:rsidP="00412C46">
      <w:pPr>
        <w:outlineLvl w:val="0"/>
      </w:pPr>
    </w:p>
    <w:p w14:paraId="28874C38" w14:textId="26B55D3C" w:rsidR="00C12E75" w:rsidRPr="00C12E75" w:rsidRDefault="00C12E75" w:rsidP="00C12E75">
      <w:pPr>
        <w:rPr>
          <w:rFonts w:cs="Times New Roman"/>
          <w:b/>
        </w:rPr>
      </w:pPr>
      <w:r w:rsidRPr="00C12E75">
        <w:rPr>
          <w:rFonts w:cs="Times New Roman"/>
          <w:b/>
        </w:rPr>
        <w:lastRenderedPageBreak/>
        <w:t>The below revised statement on Shared Governance passed in an online vote.</w:t>
      </w:r>
    </w:p>
    <w:p w14:paraId="008463B3" w14:textId="77777777" w:rsidR="00C12E75" w:rsidRPr="00C12E75" w:rsidRDefault="00C12E75" w:rsidP="00C12E75">
      <w:pPr>
        <w:jc w:val="center"/>
        <w:rPr>
          <w:rFonts w:cs="Times New Roman"/>
          <w:b/>
        </w:rPr>
      </w:pPr>
    </w:p>
    <w:p w14:paraId="45C8289A" w14:textId="4D7F525B" w:rsidR="00C12E75" w:rsidRPr="00C12E75" w:rsidRDefault="00C12E75" w:rsidP="00C12E75">
      <w:pPr>
        <w:jc w:val="center"/>
        <w:rPr>
          <w:rFonts w:cs="Times New Roman"/>
          <w:b/>
        </w:rPr>
      </w:pPr>
      <w:r w:rsidRPr="00C12E75">
        <w:rPr>
          <w:rFonts w:cs="Times New Roman"/>
          <w:b/>
        </w:rPr>
        <w:t>Shared Governance Statement (12 November 2018)</w:t>
      </w:r>
    </w:p>
    <w:p w14:paraId="2ACA8226" w14:textId="77777777" w:rsidR="00C12E75" w:rsidRPr="00C12E75" w:rsidRDefault="00C12E75" w:rsidP="00C12E75">
      <w:pPr>
        <w:rPr>
          <w:rFonts w:cs="Times New Roman"/>
        </w:rPr>
      </w:pPr>
      <w:r w:rsidRPr="00C12E75">
        <w:rPr>
          <w:rFonts w:cs="Times New Roman"/>
        </w:rPr>
        <w:t xml:space="preserve">TCU is a community of interdependent stakeholders that believes in meaningful involvement of its constituents in the shared governance of the university. This community recognizes that decisions and actions in any sector have implications for all other sectors. Shared governance means that all stakeholder groups participate in deliberation and decision-making.  This critical participation requires a clear understanding and observation of roles, responsibilities, and channels of communication among faculty, administration, staff, students, and trustees. </w:t>
      </w:r>
    </w:p>
    <w:p w14:paraId="35EFBC5B" w14:textId="77777777" w:rsidR="00C12E75" w:rsidRPr="00C12E75" w:rsidRDefault="00C12E75" w:rsidP="00C12E75">
      <w:pPr>
        <w:rPr>
          <w:rFonts w:cs="Times New Roman"/>
        </w:rPr>
      </w:pPr>
      <w:r w:rsidRPr="00C12E75">
        <w:rPr>
          <w:rFonts w:cs="Times New Roman"/>
        </w:rPr>
        <w:t>TCU reaffirms its historical commitment to the practice of shared governance, which means that faculty, staff, and students – through their elected bodies – are consulted prior to (and involved in) the formulation and implementation of policies that affect them.</w:t>
      </w:r>
    </w:p>
    <w:p w14:paraId="4919ACA6" w14:textId="77777777" w:rsidR="00C12E75" w:rsidRPr="00C12E75" w:rsidRDefault="00C12E75" w:rsidP="00C12E75">
      <w:pPr>
        <w:rPr>
          <w:rFonts w:cs="Times New Roman"/>
          <w:b/>
        </w:rPr>
      </w:pPr>
      <w:r w:rsidRPr="00C12E75">
        <w:rPr>
          <w:rFonts w:cs="Times New Roman"/>
          <w:b/>
        </w:rPr>
        <w:t>Faculty Perspective on Shared Governance</w:t>
      </w:r>
    </w:p>
    <w:p w14:paraId="790141FB" w14:textId="77777777" w:rsidR="00C12E75" w:rsidRPr="00C12E75" w:rsidRDefault="00C12E75" w:rsidP="00C12E75">
      <w:pPr>
        <w:rPr>
          <w:rFonts w:cs="Times New Roman"/>
        </w:rPr>
      </w:pPr>
      <w:r w:rsidRPr="00C12E75">
        <w:rPr>
          <w:rFonts w:cs="Times New Roman"/>
        </w:rPr>
        <w:t xml:space="preserve">TCU faculty can effectively share in governance by playing an active role in decisions regarding the formulation, amendment, or abolition of all policies that affect them at the university, college, and department levels. They can also share in governance by participating in long-term planning and decision making throughout the university. Playing an active role and participating in long-term planning require meaningful representation, through the Faculty Senate and/or elected faculty representatives, at all levels of decision making, including the Chancellor’s Cabinet and Board of Trustees. </w:t>
      </w:r>
    </w:p>
    <w:p w14:paraId="404D26AE" w14:textId="77777777" w:rsidR="00C12E75" w:rsidRPr="00C12E75" w:rsidRDefault="00C12E75" w:rsidP="00C12E7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imes New Roman"/>
        </w:rPr>
      </w:pPr>
      <w:r w:rsidRPr="00C12E75">
        <w:rPr>
          <w:rFonts w:cs="Times New Roman"/>
        </w:rPr>
        <w:t xml:space="preserve">Elected representatives must be faculty whose chief duties are teaching and/or research, not administration. Consequently, faculty members whose primary current roles are administrative cannot effectively serve as faculty representatives. </w:t>
      </w:r>
    </w:p>
    <w:p w14:paraId="6AD1BBA6" w14:textId="77777777" w:rsidR="00C12E75" w:rsidRPr="00C12E75" w:rsidRDefault="00C12E75" w:rsidP="00C12E7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imes New Roman"/>
        </w:rPr>
      </w:pPr>
      <w:r w:rsidRPr="00C12E75">
        <w:rPr>
          <w:rFonts w:cs="Times New Roman"/>
        </w:rPr>
        <w:t>The Faculty Senate is the appropriate body to determine whether a policy or practice affects the faculty.</w:t>
      </w:r>
    </w:p>
    <w:p w14:paraId="0B18B25D" w14:textId="77777777" w:rsidR="00C12E75" w:rsidRPr="00C12E75" w:rsidRDefault="00C12E75" w:rsidP="00C12E7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Times New Roman"/>
        </w:rPr>
      </w:pPr>
      <w:r w:rsidRPr="00C12E75">
        <w:rPr>
          <w:rFonts w:cs="Times New Roman"/>
        </w:rPr>
        <w:t>Proactive and sustained communication by all stakeholders is essential for effective shared governance.</w:t>
      </w:r>
    </w:p>
    <w:p w14:paraId="2D879767" w14:textId="77777777" w:rsidR="00C12E75" w:rsidRPr="00851016" w:rsidRDefault="00C12E75" w:rsidP="00412C46">
      <w:pPr>
        <w:outlineLvl w:val="0"/>
      </w:pPr>
    </w:p>
    <w:sectPr w:rsidR="00C12E75" w:rsidRPr="008510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98C22" w14:textId="77777777" w:rsidR="00591BA0" w:rsidRDefault="00591BA0">
      <w:r>
        <w:separator/>
      </w:r>
    </w:p>
  </w:endnote>
  <w:endnote w:type="continuationSeparator" w:id="0">
    <w:p w14:paraId="33A9EEDD" w14:textId="77777777" w:rsidR="00591BA0" w:rsidRDefault="0059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B6CD7" w14:textId="77777777" w:rsidR="00591BA0" w:rsidRDefault="00591BA0">
      <w:r>
        <w:separator/>
      </w:r>
    </w:p>
  </w:footnote>
  <w:footnote w:type="continuationSeparator" w:id="0">
    <w:p w14:paraId="27B162D3" w14:textId="77777777" w:rsidR="00591BA0" w:rsidRDefault="00591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49"/>
    <w:multiLevelType w:val="hybridMultilevel"/>
    <w:tmpl w:val="2B0E0316"/>
    <w:styleLink w:val="ImportedStyle1"/>
    <w:lvl w:ilvl="0" w:tplc="CA304D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487168">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58427C">
      <w:start w:val="1"/>
      <w:numFmt w:val="lowerRoman"/>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501ED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388E8E">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E6AEE">
      <w:start w:val="1"/>
      <w:numFmt w:val="lowerRoman"/>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2E8FD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AA5BA">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4BA14">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63249E3"/>
    <w:multiLevelType w:val="hybridMultilevel"/>
    <w:tmpl w:val="2B0E0316"/>
    <w:numStyleLink w:val="ImportedStyle1"/>
  </w:abstractNum>
  <w:abstractNum w:abstractNumId="2" w15:restartNumberingAfterBreak="0">
    <w:nsid w:val="3A602739"/>
    <w:multiLevelType w:val="hybridMultilevel"/>
    <w:tmpl w:val="C292CD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B856D9"/>
    <w:multiLevelType w:val="hybridMultilevel"/>
    <w:tmpl w:val="00CA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3">
      <w:lvl w:ilvl="3" w:tplc="B81ED714">
        <w:start w:val="1"/>
        <w:numFmt w:val="decimal"/>
        <w:lvlText w:val="%4."/>
        <w:lvlJc w:val="left"/>
        <w:pPr>
          <w:ind w:left="360"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FC"/>
    <w:rsid w:val="00002EB4"/>
    <w:rsid w:val="00005412"/>
    <w:rsid w:val="00020151"/>
    <w:rsid w:val="000274E8"/>
    <w:rsid w:val="00040BDC"/>
    <w:rsid w:val="00087BF8"/>
    <w:rsid w:val="00090E01"/>
    <w:rsid w:val="000A6520"/>
    <w:rsid w:val="000A7028"/>
    <w:rsid w:val="000E1B39"/>
    <w:rsid w:val="00134475"/>
    <w:rsid w:val="00164FA6"/>
    <w:rsid w:val="001720B6"/>
    <w:rsid w:val="001773FC"/>
    <w:rsid w:val="00196279"/>
    <w:rsid w:val="001A47E8"/>
    <w:rsid w:val="001B29EB"/>
    <w:rsid w:val="001B6E48"/>
    <w:rsid w:val="001F6C30"/>
    <w:rsid w:val="00206C03"/>
    <w:rsid w:val="00241F87"/>
    <w:rsid w:val="002939EA"/>
    <w:rsid w:val="002A6807"/>
    <w:rsid w:val="002C3CCB"/>
    <w:rsid w:val="002E4915"/>
    <w:rsid w:val="002E548D"/>
    <w:rsid w:val="002F2427"/>
    <w:rsid w:val="003028AD"/>
    <w:rsid w:val="003076F1"/>
    <w:rsid w:val="003146E8"/>
    <w:rsid w:val="0031480B"/>
    <w:rsid w:val="00331BA8"/>
    <w:rsid w:val="003346D6"/>
    <w:rsid w:val="003546CA"/>
    <w:rsid w:val="003651DA"/>
    <w:rsid w:val="00382354"/>
    <w:rsid w:val="003953B0"/>
    <w:rsid w:val="003A1478"/>
    <w:rsid w:val="003B1DDE"/>
    <w:rsid w:val="003B662F"/>
    <w:rsid w:val="003D36D0"/>
    <w:rsid w:val="003D6636"/>
    <w:rsid w:val="003E7925"/>
    <w:rsid w:val="003F51A2"/>
    <w:rsid w:val="004013A3"/>
    <w:rsid w:val="004017F4"/>
    <w:rsid w:val="004045C8"/>
    <w:rsid w:val="00407789"/>
    <w:rsid w:val="00412C46"/>
    <w:rsid w:val="0041638A"/>
    <w:rsid w:val="00436637"/>
    <w:rsid w:val="00450A02"/>
    <w:rsid w:val="004728BC"/>
    <w:rsid w:val="00474DC0"/>
    <w:rsid w:val="00492779"/>
    <w:rsid w:val="00493F5A"/>
    <w:rsid w:val="004A42FC"/>
    <w:rsid w:val="004D3E24"/>
    <w:rsid w:val="004D4A2D"/>
    <w:rsid w:val="004D572C"/>
    <w:rsid w:val="004E3144"/>
    <w:rsid w:val="004F78C8"/>
    <w:rsid w:val="005019F4"/>
    <w:rsid w:val="00553DE5"/>
    <w:rsid w:val="0055463C"/>
    <w:rsid w:val="00570F86"/>
    <w:rsid w:val="00591BA0"/>
    <w:rsid w:val="005B070C"/>
    <w:rsid w:val="005D28BA"/>
    <w:rsid w:val="00600B75"/>
    <w:rsid w:val="00623B9B"/>
    <w:rsid w:val="0063110A"/>
    <w:rsid w:val="0063204F"/>
    <w:rsid w:val="00677AF9"/>
    <w:rsid w:val="00681E4C"/>
    <w:rsid w:val="00683BBC"/>
    <w:rsid w:val="00691337"/>
    <w:rsid w:val="006A6EC2"/>
    <w:rsid w:val="006D6A4E"/>
    <w:rsid w:val="006D7CAE"/>
    <w:rsid w:val="006E0FF4"/>
    <w:rsid w:val="00706443"/>
    <w:rsid w:val="00731F8E"/>
    <w:rsid w:val="00732411"/>
    <w:rsid w:val="0076462C"/>
    <w:rsid w:val="00787BD2"/>
    <w:rsid w:val="00797339"/>
    <w:rsid w:val="007A1147"/>
    <w:rsid w:val="007A1708"/>
    <w:rsid w:val="007A2BCA"/>
    <w:rsid w:val="007E692B"/>
    <w:rsid w:val="00802B43"/>
    <w:rsid w:val="00814A6C"/>
    <w:rsid w:val="00832AA1"/>
    <w:rsid w:val="00851016"/>
    <w:rsid w:val="008C06B9"/>
    <w:rsid w:val="008D0E82"/>
    <w:rsid w:val="008D233D"/>
    <w:rsid w:val="008D26E2"/>
    <w:rsid w:val="00902D4A"/>
    <w:rsid w:val="00920955"/>
    <w:rsid w:val="00930E3E"/>
    <w:rsid w:val="00954074"/>
    <w:rsid w:val="00963587"/>
    <w:rsid w:val="00993378"/>
    <w:rsid w:val="009B0F97"/>
    <w:rsid w:val="009B178A"/>
    <w:rsid w:val="00A02E07"/>
    <w:rsid w:val="00A1060E"/>
    <w:rsid w:val="00A146A6"/>
    <w:rsid w:val="00A1788C"/>
    <w:rsid w:val="00A3004E"/>
    <w:rsid w:val="00A31896"/>
    <w:rsid w:val="00A43C43"/>
    <w:rsid w:val="00A479B9"/>
    <w:rsid w:val="00A52C47"/>
    <w:rsid w:val="00A87937"/>
    <w:rsid w:val="00A901FB"/>
    <w:rsid w:val="00AB0787"/>
    <w:rsid w:val="00AC506A"/>
    <w:rsid w:val="00B244AF"/>
    <w:rsid w:val="00B27E1C"/>
    <w:rsid w:val="00B466C3"/>
    <w:rsid w:val="00B479B8"/>
    <w:rsid w:val="00B86C32"/>
    <w:rsid w:val="00BB6ABB"/>
    <w:rsid w:val="00BC62A2"/>
    <w:rsid w:val="00BD443D"/>
    <w:rsid w:val="00C01F65"/>
    <w:rsid w:val="00C12E75"/>
    <w:rsid w:val="00C35B6D"/>
    <w:rsid w:val="00C401CC"/>
    <w:rsid w:val="00C52092"/>
    <w:rsid w:val="00C569F4"/>
    <w:rsid w:val="00CA637C"/>
    <w:rsid w:val="00CE0B89"/>
    <w:rsid w:val="00CE78E7"/>
    <w:rsid w:val="00CF637F"/>
    <w:rsid w:val="00D00F46"/>
    <w:rsid w:val="00D06678"/>
    <w:rsid w:val="00D168B4"/>
    <w:rsid w:val="00D22188"/>
    <w:rsid w:val="00D572FE"/>
    <w:rsid w:val="00D72137"/>
    <w:rsid w:val="00D75507"/>
    <w:rsid w:val="00D80A52"/>
    <w:rsid w:val="00D92E66"/>
    <w:rsid w:val="00DB6358"/>
    <w:rsid w:val="00DE16B0"/>
    <w:rsid w:val="00E054A1"/>
    <w:rsid w:val="00E10C3A"/>
    <w:rsid w:val="00E36CB4"/>
    <w:rsid w:val="00E44307"/>
    <w:rsid w:val="00E64F9A"/>
    <w:rsid w:val="00E74F14"/>
    <w:rsid w:val="00E756E1"/>
    <w:rsid w:val="00E94C9D"/>
    <w:rsid w:val="00EB01B5"/>
    <w:rsid w:val="00EB0340"/>
    <w:rsid w:val="00EB1952"/>
    <w:rsid w:val="00EC0542"/>
    <w:rsid w:val="00ED2524"/>
    <w:rsid w:val="00EE07A0"/>
    <w:rsid w:val="00EF24CB"/>
    <w:rsid w:val="00EF79FA"/>
    <w:rsid w:val="00F228AB"/>
    <w:rsid w:val="00F2565F"/>
    <w:rsid w:val="00F2577D"/>
    <w:rsid w:val="00F25FB4"/>
    <w:rsid w:val="00F263F5"/>
    <w:rsid w:val="00F62B6F"/>
    <w:rsid w:val="00F64221"/>
    <w:rsid w:val="00F779A6"/>
    <w:rsid w:val="00F812C6"/>
    <w:rsid w:val="00FB6023"/>
    <w:rsid w:val="00FE1FCC"/>
    <w:rsid w:val="00FE595B"/>
    <w:rsid w:val="00FE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F7D4D"/>
  <w15:docId w15:val="{DF60645A-98EC-4CEE-BD3C-84F6477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currenthithighlight">
    <w:name w:val="currenthithighlight"/>
    <w:basedOn w:val="DefaultParagraphFont"/>
    <w:rsid w:val="00732411"/>
  </w:style>
  <w:style w:type="paragraph" w:styleId="ListParagraph">
    <w:name w:val="List Paragraph"/>
    <w:basedOn w:val="Normal"/>
    <w:uiPriority w:val="34"/>
    <w:qFormat/>
    <w:rsid w:val="00732411"/>
    <w:pPr>
      <w:ind w:left="720"/>
      <w:contextualSpacing/>
    </w:pPr>
  </w:style>
  <w:style w:type="paragraph" w:styleId="BalloonText">
    <w:name w:val="Balloon Text"/>
    <w:basedOn w:val="Normal"/>
    <w:link w:val="BalloonTextChar"/>
    <w:uiPriority w:val="99"/>
    <w:semiHidden/>
    <w:unhideWhenUsed/>
    <w:rsid w:val="00F62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B6F"/>
    <w:rPr>
      <w:rFonts w:ascii="Segoe UI" w:hAnsi="Segoe UI" w:cs="Segoe UI"/>
      <w:color w:val="000000"/>
      <w:sz w:val="18"/>
      <w:szCs w:val="18"/>
      <w:u w:color="000000"/>
    </w:rPr>
  </w:style>
  <w:style w:type="paragraph" w:styleId="Footer">
    <w:name w:val="footer"/>
    <w:basedOn w:val="Normal"/>
    <w:link w:val="FooterChar"/>
    <w:uiPriority w:val="99"/>
    <w:unhideWhenUsed/>
    <w:rsid w:val="00DB635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rPr>
  </w:style>
  <w:style w:type="character" w:customStyle="1" w:styleId="FooterChar">
    <w:name w:val="Footer Char"/>
    <w:basedOn w:val="DefaultParagraphFont"/>
    <w:link w:val="Footer"/>
    <w:uiPriority w:val="99"/>
    <w:rsid w:val="00DB6358"/>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91576">
      <w:bodyDiv w:val="1"/>
      <w:marLeft w:val="0"/>
      <w:marRight w:val="0"/>
      <w:marTop w:val="0"/>
      <w:marBottom w:val="0"/>
      <w:divBdr>
        <w:top w:val="none" w:sz="0" w:space="0" w:color="auto"/>
        <w:left w:val="none" w:sz="0" w:space="0" w:color="auto"/>
        <w:bottom w:val="none" w:sz="0" w:space="0" w:color="auto"/>
        <w:right w:val="none" w:sz="0" w:space="0" w:color="auto"/>
      </w:divBdr>
    </w:div>
    <w:div w:id="1524050726">
      <w:bodyDiv w:val="1"/>
      <w:marLeft w:val="0"/>
      <w:marRight w:val="0"/>
      <w:marTop w:val="0"/>
      <w:marBottom w:val="0"/>
      <w:divBdr>
        <w:top w:val="none" w:sz="0" w:space="0" w:color="auto"/>
        <w:left w:val="none" w:sz="0" w:space="0" w:color="auto"/>
        <w:bottom w:val="none" w:sz="0" w:space="0" w:color="auto"/>
        <w:right w:val="none" w:sz="0" w:space="0" w:color="auto"/>
      </w:divBdr>
      <w:divsChild>
        <w:div w:id="1980261870">
          <w:marLeft w:val="720"/>
          <w:marRight w:val="0"/>
          <w:marTop w:val="0"/>
          <w:marBottom w:val="0"/>
          <w:divBdr>
            <w:top w:val="none" w:sz="0" w:space="0" w:color="auto"/>
            <w:left w:val="none" w:sz="0" w:space="0" w:color="auto"/>
            <w:bottom w:val="none" w:sz="0" w:space="0" w:color="auto"/>
            <w:right w:val="none" w:sz="0" w:space="0" w:color="auto"/>
          </w:divBdr>
        </w:div>
        <w:div w:id="86460266">
          <w:marLeft w:val="720"/>
          <w:marRight w:val="0"/>
          <w:marTop w:val="0"/>
          <w:marBottom w:val="0"/>
          <w:divBdr>
            <w:top w:val="none" w:sz="0" w:space="0" w:color="auto"/>
            <w:left w:val="none" w:sz="0" w:space="0" w:color="auto"/>
            <w:bottom w:val="none" w:sz="0" w:space="0" w:color="auto"/>
            <w:right w:val="none" w:sz="0" w:space="0" w:color="auto"/>
          </w:divBdr>
        </w:div>
        <w:div w:id="1177844100">
          <w:marLeft w:val="720"/>
          <w:marRight w:val="0"/>
          <w:marTop w:val="0"/>
          <w:marBottom w:val="0"/>
          <w:divBdr>
            <w:top w:val="none" w:sz="0" w:space="0" w:color="auto"/>
            <w:left w:val="none" w:sz="0" w:space="0" w:color="auto"/>
            <w:bottom w:val="none" w:sz="0" w:space="0" w:color="auto"/>
            <w:right w:val="none" w:sz="0" w:space="0" w:color="auto"/>
          </w:divBdr>
        </w:div>
        <w:div w:id="2086146229">
          <w:marLeft w:val="720"/>
          <w:marRight w:val="0"/>
          <w:marTop w:val="0"/>
          <w:marBottom w:val="0"/>
          <w:divBdr>
            <w:top w:val="none" w:sz="0" w:space="0" w:color="auto"/>
            <w:left w:val="none" w:sz="0" w:space="0" w:color="auto"/>
            <w:bottom w:val="none" w:sz="0" w:space="0" w:color="auto"/>
            <w:right w:val="none" w:sz="0" w:space="0" w:color="auto"/>
          </w:divBdr>
        </w:div>
        <w:div w:id="234898202">
          <w:marLeft w:val="720"/>
          <w:marRight w:val="0"/>
          <w:marTop w:val="0"/>
          <w:marBottom w:val="0"/>
          <w:divBdr>
            <w:top w:val="none" w:sz="0" w:space="0" w:color="auto"/>
            <w:left w:val="none" w:sz="0" w:space="0" w:color="auto"/>
            <w:bottom w:val="none" w:sz="0" w:space="0" w:color="auto"/>
            <w:right w:val="none" w:sz="0" w:space="0" w:color="auto"/>
          </w:divBdr>
        </w:div>
        <w:div w:id="1427076588">
          <w:marLeft w:val="720"/>
          <w:marRight w:val="0"/>
          <w:marTop w:val="0"/>
          <w:marBottom w:val="0"/>
          <w:divBdr>
            <w:top w:val="none" w:sz="0" w:space="0" w:color="auto"/>
            <w:left w:val="none" w:sz="0" w:space="0" w:color="auto"/>
            <w:bottom w:val="none" w:sz="0" w:space="0" w:color="auto"/>
            <w:right w:val="none" w:sz="0" w:space="0" w:color="auto"/>
          </w:divBdr>
        </w:div>
        <w:div w:id="381906092">
          <w:marLeft w:val="720"/>
          <w:marRight w:val="0"/>
          <w:marTop w:val="0"/>
          <w:marBottom w:val="0"/>
          <w:divBdr>
            <w:top w:val="none" w:sz="0" w:space="0" w:color="auto"/>
            <w:left w:val="none" w:sz="0" w:space="0" w:color="auto"/>
            <w:bottom w:val="none" w:sz="0" w:space="0" w:color="auto"/>
            <w:right w:val="none" w:sz="0" w:space="0" w:color="auto"/>
          </w:divBdr>
        </w:div>
        <w:div w:id="801122389">
          <w:marLeft w:val="720"/>
          <w:marRight w:val="0"/>
          <w:marTop w:val="0"/>
          <w:marBottom w:val="0"/>
          <w:divBdr>
            <w:top w:val="none" w:sz="0" w:space="0" w:color="auto"/>
            <w:left w:val="none" w:sz="0" w:space="0" w:color="auto"/>
            <w:bottom w:val="none" w:sz="0" w:space="0" w:color="auto"/>
            <w:right w:val="none" w:sz="0" w:space="0" w:color="auto"/>
          </w:divBdr>
        </w:div>
        <w:div w:id="1325544759">
          <w:marLeft w:val="720"/>
          <w:marRight w:val="0"/>
          <w:marTop w:val="0"/>
          <w:marBottom w:val="0"/>
          <w:divBdr>
            <w:top w:val="none" w:sz="0" w:space="0" w:color="auto"/>
            <w:left w:val="none" w:sz="0" w:space="0" w:color="auto"/>
            <w:bottom w:val="none" w:sz="0" w:space="0" w:color="auto"/>
            <w:right w:val="none" w:sz="0" w:space="0" w:color="auto"/>
          </w:divBdr>
        </w:div>
        <w:div w:id="153684027">
          <w:marLeft w:val="720"/>
          <w:marRight w:val="0"/>
          <w:marTop w:val="0"/>
          <w:marBottom w:val="0"/>
          <w:divBdr>
            <w:top w:val="none" w:sz="0" w:space="0" w:color="auto"/>
            <w:left w:val="none" w:sz="0" w:space="0" w:color="auto"/>
            <w:bottom w:val="none" w:sz="0" w:space="0" w:color="auto"/>
            <w:right w:val="none" w:sz="0" w:space="0" w:color="auto"/>
          </w:divBdr>
        </w:div>
        <w:div w:id="1462575722">
          <w:marLeft w:val="720"/>
          <w:marRight w:val="0"/>
          <w:marTop w:val="0"/>
          <w:marBottom w:val="0"/>
          <w:divBdr>
            <w:top w:val="none" w:sz="0" w:space="0" w:color="auto"/>
            <w:left w:val="none" w:sz="0" w:space="0" w:color="auto"/>
            <w:bottom w:val="none" w:sz="0" w:space="0" w:color="auto"/>
            <w:right w:val="none" w:sz="0" w:space="0" w:color="auto"/>
          </w:divBdr>
        </w:div>
      </w:divsChild>
    </w:div>
    <w:div w:id="2136436973">
      <w:bodyDiv w:val="1"/>
      <w:marLeft w:val="0"/>
      <w:marRight w:val="0"/>
      <w:marTop w:val="0"/>
      <w:marBottom w:val="0"/>
      <w:divBdr>
        <w:top w:val="none" w:sz="0" w:space="0" w:color="auto"/>
        <w:left w:val="none" w:sz="0" w:space="0" w:color="auto"/>
        <w:bottom w:val="none" w:sz="0" w:space="0" w:color="auto"/>
        <w:right w:val="none" w:sz="0" w:space="0" w:color="auto"/>
      </w:divBdr>
      <w:divsChild>
        <w:div w:id="1460028603">
          <w:marLeft w:val="0"/>
          <w:marRight w:val="0"/>
          <w:marTop w:val="0"/>
          <w:marBottom w:val="0"/>
          <w:divBdr>
            <w:top w:val="none" w:sz="0" w:space="0" w:color="auto"/>
            <w:left w:val="none" w:sz="0" w:space="0" w:color="auto"/>
            <w:bottom w:val="none" w:sz="0" w:space="0" w:color="auto"/>
            <w:right w:val="none" w:sz="0" w:space="0" w:color="auto"/>
          </w:divBdr>
        </w:div>
        <w:div w:id="1574587496">
          <w:marLeft w:val="0"/>
          <w:marRight w:val="0"/>
          <w:marTop w:val="0"/>
          <w:marBottom w:val="0"/>
          <w:divBdr>
            <w:top w:val="none" w:sz="0" w:space="0" w:color="auto"/>
            <w:left w:val="none" w:sz="0" w:space="0" w:color="auto"/>
            <w:bottom w:val="none" w:sz="0" w:space="0" w:color="auto"/>
            <w:right w:val="none" w:sz="0" w:space="0" w:color="auto"/>
          </w:divBdr>
        </w:div>
        <w:div w:id="1274092990">
          <w:marLeft w:val="0"/>
          <w:marRight w:val="0"/>
          <w:marTop w:val="0"/>
          <w:marBottom w:val="0"/>
          <w:divBdr>
            <w:top w:val="none" w:sz="0" w:space="0" w:color="auto"/>
            <w:left w:val="none" w:sz="0" w:space="0" w:color="auto"/>
            <w:bottom w:val="none" w:sz="0" w:space="0" w:color="auto"/>
            <w:right w:val="none" w:sz="0" w:space="0" w:color="auto"/>
          </w:divBdr>
        </w:div>
        <w:div w:id="36585884">
          <w:marLeft w:val="0"/>
          <w:marRight w:val="0"/>
          <w:marTop w:val="0"/>
          <w:marBottom w:val="0"/>
          <w:divBdr>
            <w:top w:val="none" w:sz="0" w:space="0" w:color="auto"/>
            <w:left w:val="none" w:sz="0" w:space="0" w:color="auto"/>
            <w:bottom w:val="none" w:sz="0" w:space="0" w:color="auto"/>
            <w:right w:val="none" w:sz="0" w:space="0" w:color="auto"/>
          </w:divBdr>
        </w:div>
        <w:div w:id="648024499">
          <w:marLeft w:val="0"/>
          <w:marRight w:val="0"/>
          <w:marTop w:val="0"/>
          <w:marBottom w:val="0"/>
          <w:divBdr>
            <w:top w:val="none" w:sz="0" w:space="0" w:color="auto"/>
            <w:left w:val="none" w:sz="0" w:space="0" w:color="auto"/>
            <w:bottom w:val="none" w:sz="0" w:space="0" w:color="auto"/>
            <w:right w:val="none" w:sz="0" w:space="0" w:color="auto"/>
          </w:divBdr>
        </w:div>
        <w:div w:id="2065833641">
          <w:marLeft w:val="0"/>
          <w:marRight w:val="0"/>
          <w:marTop w:val="0"/>
          <w:marBottom w:val="0"/>
          <w:divBdr>
            <w:top w:val="none" w:sz="0" w:space="0" w:color="auto"/>
            <w:left w:val="none" w:sz="0" w:space="0" w:color="auto"/>
            <w:bottom w:val="none" w:sz="0" w:space="0" w:color="auto"/>
            <w:right w:val="none" w:sz="0" w:space="0" w:color="auto"/>
          </w:divBdr>
        </w:div>
        <w:div w:id="992955294">
          <w:marLeft w:val="0"/>
          <w:marRight w:val="0"/>
          <w:marTop w:val="0"/>
          <w:marBottom w:val="0"/>
          <w:divBdr>
            <w:top w:val="none" w:sz="0" w:space="0" w:color="auto"/>
            <w:left w:val="none" w:sz="0" w:space="0" w:color="auto"/>
            <w:bottom w:val="none" w:sz="0" w:space="0" w:color="auto"/>
            <w:right w:val="none" w:sz="0" w:space="0" w:color="auto"/>
          </w:divBdr>
        </w:div>
        <w:div w:id="236282463">
          <w:marLeft w:val="0"/>
          <w:marRight w:val="0"/>
          <w:marTop w:val="0"/>
          <w:marBottom w:val="0"/>
          <w:divBdr>
            <w:top w:val="none" w:sz="0" w:space="0" w:color="auto"/>
            <w:left w:val="none" w:sz="0" w:space="0" w:color="auto"/>
            <w:bottom w:val="none" w:sz="0" w:space="0" w:color="auto"/>
            <w:right w:val="none" w:sz="0" w:space="0" w:color="auto"/>
          </w:divBdr>
        </w:div>
        <w:div w:id="1967537319">
          <w:marLeft w:val="0"/>
          <w:marRight w:val="0"/>
          <w:marTop w:val="0"/>
          <w:marBottom w:val="0"/>
          <w:divBdr>
            <w:top w:val="none" w:sz="0" w:space="0" w:color="auto"/>
            <w:left w:val="none" w:sz="0" w:space="0" w:color="auto"/>
            <w:bottom w:val="none" w:sz="0" w:space="0" w:color="auto"/>
            <w:right w:val="none" w:sz="0" w:space="0" w:color="auto"/>
          </w:divBdr>
        </w:div>
        <w:div w:id="1734500918">
          <w:marLeft w:val="0"/>
          <w:marRight w:val="0"/>
          <w:marTop w:val="0"/>
          <w:marBottom w:val="0"/>
          <w:divBdr>
            <w:top w:val="none" w:sz="0" w:space="0" w:color="auto"/>
            <w:left w:val="none" w:sz="0" w:space="0" w:color="auto"/>
            <w:bottom w:val="none" w:sz="0" w:space="0" w:color="auto"/>
            <w:right w:val="none" w:sz="0" w:space="0" w:color="auto"/>
          </w:divBdr>
        </w:div>
        <w:div w:id="1397245490">
          <w:marLeft w:val="0"/>
          <w:marRight w:val="0"/>
          <w:marTop w:val="0"/>
          <w:marBottom w:val="0"/>
          <w:divBdr>
            <w:top w:val="none" w:sz="0" w:space="0" w:color="auto"/>
            <w:left w:val="none" w:sz="0" w:space="0" w:color="auto"/>
            <w:bottom w:val="none" w:sz="0" w:space="0" w:color="auto"/>
            <w:right w:val="none" w:sz="0" w:space="0" w:color="auto"/>
          </w:divBdr>
        </w:div>
        <w:div w:id="2039308130">
          <w:marLeft w:val="0"/>
          <w:marRight w:val="0"/>
          <w:marTop w:val="0"/>
          <w:marBottom w:val="0"/>
          <w:divBdr>
            <w:top w:val="none" w:sz="0" w:space="0" w:color="auto"/>
            <w:left w:val="none" w:sz="0" w:space="0" w:color="auto"/>
            <w:bottom w:val="none" w:sz="0" w:space="0" w:color="auto"/>
            <w:right w:val="none" w:sz="0" w:space="0" w:color="auto"/>
          </w:divBdr>
        </w:div>
        <w:div w:id="1669553683">
          <w:marLeft w:val="0"/>
          <w:marRight w:val="0"/>
          <w:marTop w:val="0"/>
          <w:marBottom w:val="0"/>
          <w:divBdr>
            <w:top w:val="none" w:sz="0" w:space="0" w:color="auto"/>
            <w:left w:val="none" w:sz="0" w:space="0" w:color="auto"/>
            <w:bottom w:val="none" w:sz="0" w:space="0" w:color="auto"/>
            <w:right w:val="none" w:sz="0" w:space="0" w:color="auto"/>
          </w:divBdr>
        </w:div>
        <w:div w:id="457261623">
          <w:marLeft w:val="0"/>
          <w:marRight w:val="0"/>
          <w:marTop w:val="0"/>
          <w:marBottom w:val="0"/>
          <w:divBdr>
            <w:top w:val="none" w:sz="0" w:space="0" w:color="auto"/>
            <w:left w:val="none" w:sz="0" w:space="0" w:color="auto"/>
            <w:bottom w:val="none" w:sz="0" w:space="0" w:color="auto"/>
            <w:right w:val="none" w:sz="0" w:space="0" w:color="auto"/>
          </w:divBdr>
        </w:div>
        <w:div w:id="1658000491">
          <w:marLeft w:val="0"/>
          <w:marRight w:val="0"/>
          <w:marTop w:val="0"/>
          <w:marBottom w:val="0"/>
          <w:divBdr>
            <w:top w:val="none" w:sz="0" w:space="0" w:color="auto"/>
            <w:left w:val="none" w:sz="0" w:space="0" w:color="auto"/>
            <w:bottom w:val="none" w:sz="0" w:space="0" w:color="auto"/>
            <w:right w:val="none" w:sz="0" w:space="0" w:color="auto"/>
          </w:divBdr>
        </w:div>
        <w:div w:id="1744909897">
          <w:marLeft w:val="0"/>
          <w:marRight w:val="0"/>
          <w:marTop w:val="0"/>
          <w:marBottom w:val="0"/>
          <w:divBdr>
            <w:top w:val="none" w:sz="0" w:space="0" w:color="auto"/>
            <w:left w:val="none" w:sz="0" w:space="0" w:color="auto"/>
            <w:bottom w:val="none" w:sz="0" w:space="0" w:color="auto"/>
            <w:right w:val="none" w:sz="0" w:space="0" w:color="auto"/>
          </w:divBdr>
        </w:div>
        <w:div w:id="438838631">
          <w:marLeft w:val="0"/>
          <w:marRight w:val="0"/>
          <w:marTop w:val="0"/>
          <w:marBottom w:val="0"/>
          <w:divBdr>
            <w:top w:val="none" w:sz="0" w:space="0" w:color="auto"/>
            <w:left w:val="none" w:sz="0" w:space="0" w:color="auto"/>
            <w:bottom w:val="none" w:sz="0" w:space="0" w:color="auto"/>
            <w:right w:val="none" w:sz="0" w:space="0" w:color="auto"/>
          </w:divBdr>
        </w:div>
        <w:div w:id="720401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clusion.t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 Greg</dc:creator>
  <cp:lastModifiedBy>Quesada, Janis</cp:lastModifiedBy>
  <cp:revision>11</cp:revision>
  <cp:lastPrinted>2018-04-02T21:35:00Z</cp:lastPrinted>
  <dcterms:created xsi:type="dcterms:W3CDTF">2018-11-30T21:14:00Z</dcterms:created>
  <dcterms:modified xsi:type="dcterms:W3CDTF">2018-12-03T22:39:00Z</dcterms:modified>
</cp:coreProperties>
</file>